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330" w:rsidRDefault="00755330" w14:paraId="6B16FF80" w14:textId="77777777">
      <w:pPr>
        <w:pStyle w:val="Nadpis1"/>
      </w:pPr>
    </w:p>
    <w:p w:rsidR="00755330" w:rsidRDefault="00755330" w14:paraId="0D59B401" w14:textId="77777777">
      <w:pPr>
        <w:pStyle w:val="Nadpis1"/>
      </w:pPr>
    </w:p>
    <w:p w:rsidR="00755330" w:rsidRDefault="00755330" w14:paraId="56D9445D" w14:textId="77777777">
      <w:pPr>
        <w:pStyle w:val="Nadpis1"/>
      </w:pPr>
    </w:p>
    <w:p w:rsidR="00755330" w:rsidRDefault="00755330" w14:paraId="44EFCD39" w14:textId="77777777">
      <w:pPr>
        <w:pStyle w:val="Nadpis1"/>
      </w:pPr>
    </w:p>
    <w:p w:rsidR="00755330" w:rsidRDefault="00755330" w14:paraId="3D0C8DC6" w14:textId="77777777">
      <w:pPr>
        <w:pStyle w:val="Nadpis1"/>
      </w:pPr>
    </w:p>
    <w:p w:rsidR="00755330" w:rsidRDefault="00755330" w14:paraId="2CADBB81" w14:textId="77777777">
      <w:pPr>
        <w:pStyle w:val="Nadpis1"/>
      </w:pPr>
    </w:p>
    <w:p w:rsidR="00755330" w:rsidP="00902F86" w:rsidRDefault="007C3730" w14:paraId="603B0632" w14:textId="69929BA1">
      <w:pPr>
        <w:pStyle w:val="Nadpis1"/>
        <w:ind w:firstLine="720"/>
        <w:jc w:val="center"/>
        <w:sectPr w:rsidR="00755330" w:rsidSect="00034616"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  <w:bookmarkStart w:name="_Toc212103987" w:id="0"/>
      <w:r>
        <w:t xml:space="preserve">Informative Document on </w:t>
      </w:r>
      <w:r w:rsidR="00902F86">
        <w:t>SAIDC</w:t>
      </w:r>
      <w:r>
        <w:t xml:space="preserve"> Public Procurement Procedures</w:t>
      </w:r>
      <w:bookmarkEnd w:id="0"/>
    </w:p>
    <w:sdt>
      <w:sdtPr>
        <w:id w:val="-177652690"/>
        <w:docPartObj>
          <w:docPartGallery w:val="Table of Contents"/>
          <w:docPartUnique/>
        </w:docPartObj>
        <w:rPr>
          <w:rFonts w:ascii="Aptos" w:hAnsi="Aptos" w:eastAsia="ＭＳ 明朝" w:cs="Arial" w:eastAsiaTheme="minorEastAsia" w:cstheme="minorBidi"/>
          <w:b w:val="0"/>
          <w:bCs w:val="0"/>
          <w:sz w:val="24"/>
          <w:szCs w:val="24"/>
          <w:lang w:val="sk-SK"/>
        </w:rPr>
      </w:sdtPr>
      <w:sdtEndPr>
        <w:rPr>
          <w:rFonts w:ascii="Aptos" w:hAnsi="Aptos" w:eastAsia="ＭＳ 明朝" w:cs="Arial" w:eastAsiaTheme="minorEastAsia" w:cstheme="minorBidi"/>
          <w:b w:val="0"/>
          <w:bCs w:val="0"/>
          <w:sz w:val="24"/>
          <w:szCs w:val="24"/>
          <w:lang w:val="en-US"/>
        </w:rPr>
      </w:sdtEndPr>
      <w:sdtContent>
        <w:p w:rsidR="00755330" w:rsidRDefault="00902F86" w14:paraId="7FE2A9E8" w14:textId="0C09E42E">
          <w:pPr>
            <w:pStyle w:val="Hlavikaobsahu"/>
          </w:pPr>
          <w:r>
            <w:rPr>
              <w:lang w:val="sk-SK"/>
            </w:rPr>
            <w:t xml:space="preserve">Table of </w:t>
          </w:r>
          <w:proofErr w:type="spellStart"/>
          <w:r>
            <w:rPr>
              <w:lang w:val="sk-SK"/>
            </w:rPr>
            <w:t>contents</w:t>
          </w:r>
          <w:proofErr w:type="spellEnd"/>
        </w:p>
        <w:p w:rsidR="004205CB" w:rsidRDefault="00755330" w14:paraId="585EEE40" w14:textId="46483F4D">
          <w:pPr>
            <w:pStyle w:val="Obsah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12103987">
            <w:r w:rsidRPr="000C5173" w:rsidR="004205CB">
              <w:rPr>
                <w:rStyle w:val="Hypertextovprepojenie"/>
                <w:noProof/>
              </w:rPr>
              <w:t>Informative Document on SAIDC Public Procurement Procedures</w:t>
            </w:r>
            <w:r w:rsidR="004205CB">
              <w:rPr>
                <w:noProof/>
                <w:webHidden/>
              </w:rPr>
              <w:tab/>
            </w:r>
            <w:r w:rsidR="004205CB">
              <w:rPr>
                <w:noProof/>
                <w:webHidden/>
              </w:rPr>
              <w:fldChar w:fldCharType="begin"/>
            </w:r>
            <w:r w:rsidR="004205CB">
              <w:rPr>
                <w:noProof/>
                <w:webHidden/>
              </w:rPr>
              <w:instrText xml:space="preserve"> PAGEREF _Toc212103987 \h </w:instrText>
            </w:r>
            <w:r w:rsidR="004205CB">
              <w:rPr>
                <w:noProof/>
                <w:webHidden/>
              </w:rPr>
            </w:r>
            <w:r w:rsidR="004205CB">
              <w:rPr>
                <w:noProof/>
                <w:webHidden/>
              </w:rPr>
              <w:fldChar w:fldCharType="separate"/>
            </w:r>
            <w:r w:rsidR="004205CB">
              <w:rPr>
                <w:noProof/>
                <w:webHidden/>
              </w:rPr>
              <w:t>1</w:t>
            </w:r>
            <w:r w:rsidR="004205CB">
              <w:rPr>
                <w:noProof/>
                <w:webHidden/>
              </w:rPr>
              <w:fldChar w:fldCharType="end"/>
            </w:r>
          </w:hyperlink>
        </w:p>
        <w:p w:rsidR="004205CB" w:rsidRDefault="004205CB" w14:paraId="4CE6E6B7" w14:textId="173E7384">
          <w:pPr>
            <w:pStyle w:val="Obsah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history="1" w:anchor="_Toc212103988">
            <w:r w:rsidRPr="000C5173">
              <w:rPr>
                <w:rStyle w:val="Hypertextovprepojenie"/>
                <w:noProof/>
              </w:rPr>
              <w:t>1. Purpose of the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_Toc212103988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05CB" w:rsidRDefault="004205CB" w14:paraId="512DCFAC" w14:textId="6F5210AF">
          <w:pPr>
            <w:pStyle w:val="Obsah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history="1" w:anchor="_Toc212103989">
            <w:r w:rsidRPr="000C5173">
              <w:rPr>
                <w:rStyle w:val="Hypertextovprepojenie"/>
                <w:noProof/>
              </w:rPr>
              <w:t>2. General Rules of Public Procurement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_Toc212103989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05CB" w:rsidRDefault="004205CB" w14:paraId="6584E77A" w14:textId="354A89A1">
          <w:pPr>
            <w:pStyle w:val="Obsah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history="1" w:anchor="_Toc212103990">
            <w:r w:rsidRPr="000C5173">
              <w:rPr>
                <w:rStyle w:val="Hypertextovprepojenie"/>
                <w:noProof/>
              </w:rPr>
              <w:t>3. Categories of contracts by financial limits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_Toc212103990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05CB" w:rsidRDefault="004205CB" w14:paraId="36B12609" w14:textId="0BB05B49">
          <w:pPr>
            <w:pStyle w:val="Obsah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history="1" w:anchor="_Toc212103991">
            <w:r w:rsidRPr="000C5173">
              <w:rPr>
                <w:rStyle w:val="Hypertextovprepojenie"/>
                <w:noProof/>
              </w:rPr>
              <w:t>4. Participation Conditions (Bidder Requirements) and Proof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_Toc212103991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05CB" w:rsidRDefault="004205CB" w14:paraId="450D04A1" w14:textId="3957212F">
          <w:pPr>
            <w:pStyle w:val="Obsah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history="1" w:anchor="_Toc212103992">
            <w:r w:rsidRPr="000C5173">
              <w:rPr>
                <w:rStyle w:val="Hypertextovprepojenie"/>
                <w:noProof/>
              </w:rPr>
              <w:t>5. Evaluation of Bids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_Toc212103992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05CB" w:rsidRDefault="004205CB" w14:paraId="1F777AC5" w14:textId="593EEB43">
          <w:pPr>
            <w:pStyle w:val="Obsah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history="1" w:anchor="_Toc212103993">
            <w:r w:rsidRPr="000C5173">
              <w:rPr>
                <w:rStyle w:val="Hypertextovprepojenie"/>
                <w:noProof/>
              </w:rPr>
              <w:t>6. Rights of Bidders: Complaints and Objections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_Toc212103993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05CB" w:rsidRDefault="004205CB" w14:paraId="45AD88B8" w14:textId="3438E0D7">
          <w:pPr>
            <w:pStyle w:val="Obsah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history="1" w:anchor="_Toc212103994">
            <w:r w:rsidRPr="000C5173">
              <w:rPr>
                <w:rStyle w:val="Hypertextovprepojenie"/>
                <w:noProof/>
              </w:rPr>
              <w:t>7. Publication, Results, and Contract Effectiveness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_Toc212103994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05CB" w:rsidRDefault="004205CB" w14:paraId="2D62DAAE" w14:textId="46A2DF2B">
          <w:pPr>
            <w:pStyle w:val="Obsah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history="1" w:anchor="_Toc212103995">
            <w:r w:rsidRPr="000C5173">
              <w:rPr>
                <w:rStyle w:val="Hypertextovprepojenie"/>
                <w:noProof/>
              </w:rPr>
              <w:t>8. Procurement of Below-Threshold Contracts in the Context of Development Cooperation or International Humanitarian Assistance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_Toc212103995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5330" w:rsidRDefault="00755330" w14:paraId="359D2CB5" w14:textId="446C04E6">
          <w:r>
            <w:rPr>
              <w:b/>
              <w:bCs/>
            </w:rPr>
            <w:fldChar w:fldCharType="end"/>
          </w:r>
        </w:p>
      </w:sdtContent>
    </w:sdt>
    <w:p w:rsidR="00755330" w:rsidRDefault="00755330" w14:paraId="536990F1" w14:textId="77777777">
      <w:pPr>
        <w:pStyle w:val="Nadpis1"/>
        <w:sectPr w:rsidR="00755330" w:rsidSect="00034616"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="00941E0C" w:rsidRDefault="007C3730" w14:paraId="46786D38" w14:textId="77777777">
      <w:pPr>
        <w:pStyle w:val="Nadpis1"/>
      </w:pPr>
      <w:bookmarkStart w:name="_Toc212103988" w:id="1"/>
      <w:r>
        <w:t>1. Purpose of the Document</w:t>
      </w:r>
      <w:bookmarkEnd w:id="1"/>
    </w:p>
    <w:p w:rsidR="00941E0C" w:rsidP="00755330" w:rsidRDefault="007C3730" w14:paraId="1502E80B" w14:textId="023FEC08">
      <w:pPr>
        <w:ind w:firstLine="720"/>
      </w:pPr>
      <w:r>
        <w:t>The aim is to provide applicants with clear information about the rules, requirements, and procedures of public procurement by the Slovak Agency for International Development Cooperation (</w:t>
      </w:r>
      <w:r w:rsidR="00902F86">
        <w:t>SAIDC</w:t>
      </w:r>
      <w:r>
        <w:t>) in accordance with Act No. 343/2015 Coll. and internal directive No. SAMRS/195/386/2025.</w:t>
      </w:r>
    </w:p>
    <w:p w:rsidR="00941E0C" w:rsidRDefault="007C3730" w14:paraId="2B8CBAA6" w14:textId="77777777">
      <w:pPr>
        <w:pStyle w:val="Nadpis1"/>
      </w:pPr>
      <w:bookmarkStart w:name="_Toc212103989" w:id="2"/>
      <w:r>
        <w:t>2. General Rules of Public Procurement</w:t>
      </w:r>
      <w:bookmarkEnd w:id="2"/>
    </w:p>
    <w:p w:rsidR="00755330" w:rsidP="00755330" w:rsidRDefault="007C3730" w14:paraId="3FCAE7F7" w14:textId="03490E52">
      <w:pPr>
        <w:pStyle w:val="Odsekzoznamu"/>
        <w:numPr>
          <w:ilvl w:val="0"/>
          <w:numId w:val="11"/>
        </w:numPr>
      </w:pPr>
      <w:r>
        <w:t xml:space="preserve">When awarding contracts, concessions, and in competitions, </w:t>
      </w:r>
      <w:r w:rsidR="00902F86">
        <w:t>SAIDC</w:t>
      </w:r>
      <w:r>
        <w:t xml:space="preserve"> must adhere to the principles of: </w:t>
      </w:r>
    </w:p>
    <w:p w:rsidR="00755330" w:rsidP="00755330" w:rsidRDefault="007C3730" w14:paraId="2D693335" w14:textId="154CBFFB">
      <w:pPr>
        <w:pStyle w:val="Odsekzoznamu"/>
        <w:numPr>
          <w:ilvl w:val="0"/>
          <w:numId w:val="12"/>
        </w:numPr>
      </w:pPr>
      <w:r>
        <w:t>equal treatment</w:t>
      </w:r>
      <w:r w:rsidR="00755330">
        <w:t>,</w:t>
      </w:r>
    </w:p>
    <w:p w:rsidR="00755330" w:rsidP="00755330" w:rsidRDefault="007C3730" w14:paraId="12EFE09E" w14:textId="39EEB2C3">
      <w:pPr>
        <w:pStyle w:val="Odsekzoznamu"/>
        <w:numPr>
          <w:ilvl w:val="0"/>
          <w:numId w:val="12"/>
        </w:numPr>
      </w:pPr>
      <w:r>
        <w:t>non-discrimination of economic operators</w:t>
      </w:r>
      <w:r w:rsidR="00755330">
        <w:t>,</w:t>
      </w:r>
    </w:p>
    <w:p w:rsidR="00755330" w:rsidP="00755330" w:rsidRDefault="007C3730" w14:paraId="2DB17174" w14:textId="35E554B0">
      <w:pPr>
        <w:pStyle w:val="Odsekzoznamu"/>
        <w:numPr>
          <w:ilvl w:val="0"/>
          <w:numId w:val="12"/>
        </w:numPr>
      </w:pPr>
      <w:r>
        <w:t>transparency</w:t>
      </w:r>
      <w:r w:rsidR="00755330">
        <w:t>,</w:t>
      </w:r>
    </w:p>
    <w:p w:rsidR="00755330" w:rsidP="00755330" w:rsidRDefault="007C3730" w14:paraId="1E5E9D02" w14:textId="77777777">
      <w:pPr>
        <w:pStyle w:val="Odsekzoznamu"/>
        <w:numPr>
          <w:ilvl w:val="0"/>
          <w:numId w:val="12"/>
        </w:numPr>
      </w:pPr>
      <w:r>
        <w:t xml:space="preserve">proportionality, </w:t>
      </w:r>
    </w:p>
    <w:p w:rsidR="00941E0C" w:rsidP="00755330" w:rsidRDefault="007C3730" w14:paraId="50E1452D" w14:textId="2EBA2334">
      <w:pPr>
        <w:pStyle w:val="Odsekzoznamu"/>
        <w:numPr>
          <w:ilvl w:val="0"/>
          <w:numId w:val="12"/>
        </w:numPr>
      </w:pPr>
      <w:r>
        <w:t>economy and efficiency</w:t>
      </w:r>
    </w:p>
    <w:p w:rsidR="00941E0C" w:rsidRDefault="00941E0C" w14:paraId="6D27A523" w14:textId="77777777"/>
    <w:p w:rsidR="00941E0C" w:rsidP="00755330" w:rsidRDefault="007C3730" w14:paraId="24F72F18" w14:textId="1DE98F33">
      <w:pPr>
        <w:pStyle w:val="Odsekzoznamu"/>
        <w:numPr>
          <w:ilvl w:val="0"/>
          <w:numId w:val="11"/>
        </w:numPr>
      </w:pPr>
      <w:r>
        <w:t xml:space="preserve">Conflict of Interest: A person involved must immediately notify the head of the organizational department and the director of </w:t>
      </w:r>
      <w:r w:rsidR="00902F86">
        <w:t>SAIDC</w:t>
      </w:r>
      <w:r>
        <w:t xml:space="preserve"> </w:t>
      </w:r>
      <w:proofErr w:type="gramStart"/>
      <w:r>
        <w:t>in</w:t>
      </w:r>
      <w:proofErr w:type="gramEnd"/>
      <w:r>
        <w:t xml:space="preserve"> writing upon discovering a conflict of interest. The director may exclude the person from the process or adjust their role to eliminate the conflict.</w:t>
      </w:r>
    </w:p>
    <w:p w:rsidR="00941E0C" w:rsidRDefault="00941E0C" w14:paraId="39D67D77" w14:textId="77777777"/>
    <w:p w:rsidR="00941E0C" w:rsidP="00755330" w:rsidRDefault="007C3730" w14:paraId="74981E96" w14:textId="3CC4BA84">
      <w:pPr>
        <w:pStyle w:val="Odsekzoznamu"/>
        <w:numPr>
          <w:ilvl w:val="0"/>
          <w:numId w:val="11"/>
        </w:numPr>
      </w:pPr>
      <w:r>
        <w:t>Communication:</w:t>
      </w:r>
    </w:p>
    <w:p w:rsidR="00941E0C" w:rsidP="00755330" w:rsidRDefault="007C3730" w14:paraId="0ADA50F7" w14:textId="0D9825FF">
      <w:pPr>
        <w:pStyle w:val="Odsekzoznamu"/>
        <w:numPr>
          <w:ilvl w:val="1"/>
          <w:numId w:val="11"/>
        </w:numPr>
      </w:pPr>
      <w:r>
        <w:t>For smaller contracts up to €50,000: via e-mail.</w:t>
      </w:r>
    </w:p>
    <w:p w:rsidR="00941E0C" w:rsidP="00755330" w:rsidRDefault="007C3730" w14:paraId="7460B991" w14:textId="5B2FC2D3">
      <w:pPr>
        <w:pStyle w:val="Odsekzoznamu"/>
        <w:numPr>
          <w:ilvl w:val="1"/>
          <w:numId w:val="11"/>
        </w:numPr>
      </w:pPr>
      <w:r>
        <w:t>From €50,000 (below-threshold) and above-threshold: via IS EPVO (or another certified system). Communication during procurement is exclusively through the selected tool.</w:t>
      </w:r>
    </w:p>
    <w:p w:rsidR="00755330" w:rsidRDefault="00755330" w14:paraId="4ACA3F7D" w14:textId="77777777">
      <w:pPr>
        <w:pStyle w:val="Nadpis1"/>
        <w:sectPr w:rsidR="00755330" w:rsidSect="00034616"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="00941E0C" w:rsidRDefault="007C3730" w14:paraId="3DBBE577" w14:textId="3DAFA755">
      <w:pPr>
        <w:pStyle w:val="Nadpis1"/>
      </w:pPr>
      <w:bookmarkStart w:name="_Toc212103990" w:id="3"/>
      <w:r>
        <w:t xml:space="preserve">3. Categories of </w:t>
      </w:r>
      <w:r w:rsidR="00902F86">
        <w:t>c</w:t>
      </w:r>
      <w:r>
        <w:t xml:space="preserve">ontracts by </w:t>
      </w:r>
      <w:r w:rsidR="00902F86">
        <w:t>f</w:t>
      </w:r>
      <w:r>
        <w:t xml:space="preserve">inancial </w:t>
      </w:r>
      <w:r w:rsidR="00902F86">
        <w:t>l</w:t>
      </w:r>
      <w:r>
        <w:t>imits</w:t>
      </w:r>
      <w:bookmarkEnd w:id="3"/>
    </w:p>
    <w:p w:rsidRPr="00755330" w:rsidR="00755330" w:rsidP="00755330" w:rsidRDefault="00755330" w14:paraId="5DE5B8A2" w14:textId="77777777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253"/>
      </w:tblGrid>
      <w:tr w:rsidRPr="00433F65" w:rsidR="00755330" w:rsidTr="001411A1" w14:paraId="347D83FB" w14:textId="77777777">
        <w:trPr>
          <w:tblHeader/>
          <w:tblCellSpacing w:w="15" w:type="dxa"/>
          <w:jc w:val="center"/>
        </w:trPr>
        <w:tc>
          <w:tcPr>
            <w:tcW w:w="2790" w:type="dxa"/>
            <w:shd w:val="clear" w:color="auto" w:fill="A6A6A6" w:themeFill="background1" w:themeFillShade="A6"/>
            <w:vAlign w:val="center"/>
            <w:hideMark/>
          </w:tcPr>
          <w:p w:rsidRPr="00433F65" w:rsidR="00755330" w:rsidP="001411A1" w:rsidRDefault="00755330" w14:paraId="763CFF37" w14:textId="66A56289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bookmarkStart w:name="_Hlk211417387" w:id="4"/>
            <w:r>
              <w:rPr>
                <w:rFonts w:ascii="Calibri" w:hAnsi="Calibri" w:cs="Calibri"/>
                <w:b/>
                <w:bCs/>
                <w:sz w:val="22"/>
              </w:rPr>
              <w:t>Type of contract</w:t>
            </w:r>
          </w:p>
        </w:tc>
        <w:tc>
          <w:tcPr>
            <w:tcW w:w="4208" w:type="dxa"/>
            <w:shd w:val="clear" w:color="auto" w:fill="A6A6A6" w:themeFill="background1" w:themeFillShade="A6"/>
            <w:vAlign w:val="center"/>
            <w:hideMark/>
          </w:tcPr>
          <w:p w:rsidRPr="00433F65" w:rsidR="00755330" w:rsidP="001411A1" w:rsidRDefault="00755330" w14:paraId="1D17C8C2" w14:textId="3697ED50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Contract value (excl.</w:t>
            </w:r>
            <w:r w:rsidRPr="00433F65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>VAT)</w:t>
            </w:r>
          </w:p>
        </w:tc>
      </w:tr>
      <w:tr w:rsidRPr="00433F65" w:rsidR="00755330" w:rsidTr="001411A1" w14:paraId="34471CFB" w14:textId="77777777">
        <w:trPr>
          <w:tblCellSpacing w:w="15" w:type="dxa"/>
          <w:jc w:val="center"/>
        </w:trPr>
        <w:tc>
          <w:tcPr>
            <w:tcW w:w="2790" w:type="dxa"/>
            <w:shd w:val="clear" w:color="auto" w:fill="F2F2F2" w:themeFill="background1" w:themeFillShade="F2"/>
            <w:vAlign w:val="center"/>
            <w:hideMark/>
          </w:tcPr>
          <w:p w:rsidRPr="00433F65" w:rsidR="00755330" w:rsidP="001411A1" w:rsidRDefault="00755330" w14:paraId="4E3D154A" w14:textId="2299EAB5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Small-scale </w:t>
            </w:r>
            <w:r w:rsidR="00902F86">
              <w:rPr>
                <w:rFonts w:ascii="Calibri" w:hAnsi="Calibri" w:cs="Calibri"/>
                <w:sz w:val="22"/>
              </w:rPr>
              <w:t>c</w:t>
            </w:r>
            <w:r>
              <w:rPr>
                <w:rFonts w:ascii="Calibri" w:hAnsi="Calibri" w:cs="Calibri"/>
                <w:sz w:val="22"/>
              </w:rPr>
              <w:t>ontract</w:t>
            </w:r>
          </w:p>
        </w:tc>
        <w:tc>
          <w:tcPr>
            <w:tcW w:w="4208" w:type="dxa"/>
            <w:shd w:val="clear" w:color="auto" w:fill="F2F2F2" w:themeFill="background1" w:themeFillShade="F2"/>
            <w:vAlign w:val="center"/>
            <w:hideMark/>
          </w:tcPr>
          <w:p w:rsidRPr="00433F65" w:rsidR="00755330" w:rsidP="001411A1" w:rsidRDefault="00755330" w14:paraId="1866A14F" w14:textId="77777777">
            <w:pPr>
              <w:jc w:val="both"/>
              <w:rPr>
                <w:rFonts w:ascii="Calibri" w:hAnsi="Calibri" w:cs="Calibri"/>
                <w:sz w:val="22"/>
              </w:rPr>
            </w:pPr>
            <w:r w:rsidRPr="00433F65">
              <w:rPr>
                <w:rFonts w:ascii="Calibri" w:hAnsi="Calibri" w:cs="Calibri"/>
                <w:sz w:val="22"/>
              </w:rPr>
              <w:t>&lt; 50 000 €</w:t>
            </w:r>
          </w:p>
        </w:tc>
      </w:tr>
      <w:tr w:rsidRPr="00433F65" w:rsidR="00755330" w:rsidTr="001411A1" w14:paraId="1F2915D1" w14:textId="77777777">
        <w:trPr>
          <w:tblCellSpacing w:w="15" w:type="dxa"/>
          <w:jc w:val="center"/>
        </w:trPr>
        <w:tc>
          <w:tcPr>
            <w:tcW w:w="2790" w:type="dxa"/>
            <w:shd w:val="clear" w:color="auto" w:fill="F2F2F2" w:themeFill="background1" w:themeFillShade="F2"/>
            <w:vAlign w:val="center"/>
            <w:hideMark/>
          </w:tcPr>
          <w:p w:rsidRPr="00433F65" w:rsidR="00755330" w:rsidP="001411A1" w:rsidRDefault="00755330" w14:paraId="272F9563" w14:textId="7C41D26D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Below-threshold </w:t>
            </w:r>
            <w:r w:rsidR="00902F86">
              <w:rPr>
                <w:rFonts w:ascii="Calibri" w:hAnsi="Calibri" w:cs="Calibri"/>
                <w:sz w:val="22"/>
              </w:rPr>
              <w:t>c</w:t>
            </w:r>
            <w:r>
              <w:rPr>
                <w:rFonts w:ascii="Calibri" w:hAnsi="Calibri" w:cs="Calibri"/>
                <w:sz w:val="22"/>
              </w:rPr>
              <w:t>ontract</w:t>
            </w:r>
          </w:p>
        </w:tc>
        <w:tc>
          <w:tcPr>
            <w:tcW w:w="4208" w:type="dxa"/>
            <w:shd w:val="clear" w:color="auto" w:fill="F2F2F2" w:themeFill="background1" w:themeFillShade="F2"/>
            <w:vAlign w:val="center"/>
            <w:hideMark/>
          </w:tcPr>
          <w:p w:rsidRPr="00433F65" w:rsidR="00755330" w:rsidP="001411A1" w:rsidRDefault="00755330" w14:paraId="6782C663" w14:textId="6B478907">
            <w:pPr>
              <w:jc w:val="both"/>
              <w:rPr>
                <w:rFonts w:ascii="Calibri" w:hAnsi="Calibri" w:cs="Calibri"/>
                <w:sz w:val="22"/>
              </w:rPr>
            </w:pPr>
            <w:r w:rsidRPr="00433F65">
              <w:rPr>
                <w:rFonts w:ascii="Calibri" w:hAnsi="Calibri" w:cs="Calibri"/>
                <w:sz w:val="22"/>
              </w:rPr>
              <w:t>50 000 € – 220 999,99 € (</w:t>
            </w:r>
            <w:r>
              <w:rPr>
                <w:rFonts w:ascii="Calibri" w:hAnsi="Calibri" w:cs="Calibri"/>
                <w:sz w:val="22"/>
              </w:rPr>
              <w:t>good/services)</w:t>
            </w:r>
          </w:p>
          <w:p w:rsidRPr="00433F65" w:rsidR="00755330" w:rsidP="001411A1" w:rsidRDefault="00755330" w14:paraId="1F01B27D" w14:textId="4AAF6797">
            <w:pPr>
              <w:jc w:val="both"/>
              <w:rPr>
                <w:rFonts w:ascii="Calibri" w:hAnsi="Calibri" w:cs="Calibri"/>
                <w:sz w:val="22"/>
              </w:rPr>
            </w:pPr>
            <w:r w:rsidRPr="00433F65">
              <w:rPr>
                <w:rFonts w:ascii="Calibri" w:hAnsi="Calibri" w:cs="Calibri"/>
                <w:sz w:val="22"/>
              </w:rPr>
              <w:t>50 000 € – 5 537 999,99 € (</w:t>
            </w:r>
            <w:r>
              <w:rPr>
                <w:rFonts w:ascii="Calibri" w:hAnsi="Calibri" w:cs="Calibri"/>
                <w:sz w:val="22"/>
              </w:rPr>
              <w:t>construction</w:t>
            </w:r>
            <w:r w:rsidRPr="00433F65">
              <w:rPr>
                <w:rFonts w:ascii="Calibri" w:hAnsi="Calibri" w:cs="Calibri"/>
                <w:sz w:val="22"/>
              </w:rPr>
              <w:t>)</w:t>
            </w:r>
          </w:p>
        </w:tc>
      </w:tr>
      <w:tr w:rsidRPr="00433F65" w:rsidR="00755330" w:rsidTr="001411A1" w14:paraId="600276F7" w14:textId="77777777">
        <w:trPr>
          <w:tblCellSpacing w:w="15" w:type="dxa"/>
          <w:jc w:val="center"/>
        </w:trPr>
        <w:tc>
          <w:tcPr>
            <w:tcW w:w="2790" w:type="dxa"/>
            <w:shd w:val="clear" w:color="auto" w:fill="F2F2F2" w:themeFill="background1" w:themeFillShade="F2"/>
            <w:vAlign w:val="center"/>
            <w:hideMark/>
          </w:tcPr>
          <w:p w:rsidRPr="00433F65" w:rsidR="00755330" w:rsidP="001411A1" w:rsidRDefault="00902F86" w14:paraId="0636B371" w14:textId="63CD7166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Above-threshold contract</w:t>
            </w:r>
          </w:p>
        </w:tc>
        <w:tc>
          <w:tcPr>
            <w:tcW w:w="4208" w:type="dxa"/>
            <w:shd w:val="clear" w:color="auto" w:fill="F2F2F2" w:themeFill="background1" w:themeFillShade="F2"/>
            <w:vAlign w:val="center"/>
            <w:hideMark/>
          </w:tcPr>
          <w:p w:rsidRPr="00433F65" w:rsidR="00755330" w:rsidP="001411A1" w:rsidRDefault="00755330" w14:paraId="7B8EB895" w14:textId="798E631F">
            <w:pPr>
              <w:jc w:val="both"/>
              <w:rPr>
                <w:rFonts w:ascii="Calibri" w:hAnsi="Calibri" w:cs="Calibri"/>
                <w:sz w:val="22"/>
              </w:rPr>
            </w:pPr>
            <w:r w:rsidRPr="00433F65">
              <w:rPr>
                <w:rFonts w:ascii="Calibri" w:hAnsi="Calibri" w:cs="Calibri"/>
                <w:sz w:val="22"/>
              </w:rPr>
              <w:t>≥ 221 000 € (</w:t>
            </w:r>
            <w:r>
              <w:rPr>
                <w:rFonts w:ascii="Calibri" w:hAnsi="Calibri" w:cs="Calibri"/>
                <w:sz w:val="22"/>
              </w:rPr>
              <w:t>good/services</w:t>
            </w:r>
            <w:r w:rsidRPr="00433F65">
              <w:rPr>
                <w:rFonts w:ascii="Calibri" w:hAnsi="Calibri" w:cs="Calibri"/>
                <w:sz w:val="22"/>
              </w:rPr>
              <w:t>)</w:t>
            </w:r>
          </w:p>
          <w:p w:rsidRPr="00433F65" w:rsidR="00755330" w:rsidP="001411A1" w:rsidRDefault="00755330" w14:paraId="2D4C37B9" w14:textId="06D0A6AF">
            <w:pPr>
              <w:jc w:val="both"/>
              <w:rPr>
                <w:rFonts w:ascii="Calibri" w:hAnsi="Calibri" w:cs="Calibri"/>
                <w:sz w:val="22"/>
              </w:rPr>
            </w:pPr>
            <w:r w:rsidRPr="00433F65">
              <w:rPr>
                <w:rFonts w:ascii="Calibri" w:hAnsi="Calibri" w:cs="Calibri"/>
                <w:sz w:val="22"/>
              </w:rPr>
              <w:t>≥ 5 538 000 € (</w:t>
            </w:r>
            <w:r>
              <w:rPr>
                <w:rFonts w:ascii="Calibri" w:hAnsi="Calibri" w:cs="Calibri"/>
                <w:sz w:val="22"/>
              </w:rPr>
              <w:t>construction</w:t>
            </w:r>
            <w:r w:rsidRPr="00433F65">
              <w:rPr>
                <w:rFonts w:ascii="Calibri" w:hAnsi="Calibri" w:cs="Calibri"/>
                <w:sz w:val="22"/>
              </w:rPr>
              <w:t>)</w:t>
            </w:r>
          </w:p>
        </w:tc>
      </w:tr>
    </w:tbl>
    <w:p w:rsidR="00941E0C" w:rsidRDefault="007C3730" w14:paraId="044D9028" w14:textId="77777777">
      <w:pPr>
        <w:pStyle w:val="Nadpis1"/>
      </w:pPr>
      <w:bookmarkStart w:name="_Toc212103991" w:id="5"/>
      <w:bookmarkEnd w:id="4"/>
      <w:r>
        <w:t>4. Participation Conditions (Bidder Requirements) and Proof</w:t>
      </w:r>
      <w:bookmarkEnd w:id="5"/>
    </w:p>
    <w:p w:rsidR="00941E0C" w:rsidRDefault="007C3730" w14:paraId="2EA0144A" w14:textId="77777777">
      <w:r>
        <w:t>1. Basic Conditions (for all contracts from €2,500):</w:t>
      </w:r>
    </w:p>
    <w:p w:rsidR="00941E0C" w:rsidP="00755330" w:rsidRDefault="007C3730" w14:paraId="4E3738D8" w14:textId="3B24D0A6">
      <w:pPr>
        <w:pStyle w:val="Odsekzoznamu"/>
        <w:numPr>
          <w:ilvl w:val="1"/>
          <w:numId w:val="11"/>
        </w:numPr>
      </w:pPr>
      <w:r>
        <w:t xml:space="preserve">Authorization to supply goods, </w:t>
      </w:r>
      <w:r>
        <w:t>services, or construction works (e.g., trade license).</w:t>
      </w:r>
    </w:p>
    <w:p w:rsidR="00941E0C" w:rsidP="00755330" w:rsidRDefault="007C3730" w14:paraId="378C87C4" w14:textId="42F89E9D">
      <w:pPr>
        <w:pStyle w:val="Odsekzoznamu"/>
        <w:numPr>
          <w:ilvl w:val="1"/>
          <w:numId w:val="11"/>
        </w:numPr>
      </w:pPr>
      <w:r>
        <w:t>Integrity – the bidder must not have been lawfully convicted of selected crimes.</w:t>
      </w:r>
    </w:p>
    <w:p w:rsidR="00941E0C" w:rsidP="00755330" w:rsidRDefault="007C3730" w14:paraId="2541471E" w14:textId="3110D525">
      <w:pPr>
        <w:pStyle w:val="Odsekzoznamu"/>
        <w:numPr>
          <w:ilvl w:val="1"/>
          <w:numId w:val="11"/>
        </w:numPr>
      </w:pPr>
      <w:r>
        <w:t>Tax and levy compliance – the bidder must have settled obligations to tax office, social and health insurance.</w:t>
      </w:r>
    </w:p>
    <w:p w:rsidR="00941E0C" w:rsidP="00755330" w:rsidRDefault="007C3730" w14:paraId="5452065D" w14:textId="19C60701">
      <w:pPr>
        <w:pStyle w:val="Odsekzoznamu"/>
        <w:numPr>
          <w:ilvl w:val="1"/>
          <w:numId w:val="11"/>
        </w:numPr>
      </w:pPr>
      <w:r>
        <w:t>Ban on participation – must not be listed in the register of banned entities.</w:t>
      </w:r>
    </w:p>
    <w:p w:rsidR="00941E0C" w:rsidRDefault="00941E0C" w14:paraId="69CB0E07" w14:textId="77777777"/>
    <w:p w:rsidR="00941E0C" w:rsidRDefault="007C3730" w14:paraId="2DE60021" w14:textId="77777777">
      <w:r>
        <w:t>2. Contracts €20,000 – €49,999.99 excl. VAT:</w:t>
      </w:r>
    </w:p>
    <w:p w:rsidR="00941E0C" w:rsidP="00755330" w:rsidRDefault="00902F86" w14:paraId="6B9FC6CE" w14:textId="14E21B1B">
      <w:pPr>
        <w:pStyle w:val="Odsekzoznamu"/>
        <w:numPr>
          <w:ilvl w:val="1"/>
          <w:numId w:val="11"/>
        </w:numPr>
      </w:pPr>
      <w:r>
        <w:t>SAIDC may require proportionate criteria under §33/§34 (e.g., basic references, insurance coverage) – appropriate to the subject and estimated value.</w:t>
      </w:r>
    </w:p>
    <w:p w:rsidR="00941E0C" w:rsidRDefault="00941E0C" w14:paraId="6B9ABE5A" w14:textId="77777777"/>
    <w:p w:rsidR="00755330" w:rsidRDefault="00755330" w14:paraId="08D5CCFF" w14:textId="77777777">
      <w:pPr>
        <w:sectPr w:rsidR="00755330" w:rsidSect="00034616"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="00941E0C" w:rsidRDefault="007C3730" w14:paraId="2A8563BB" w14:textId="77777777">
      <w:r>
        <w:t>3. Below-threshold Contracts (€50,000 – €220,999.99 excl. VAT):</w:t>
      </w:r>
    </w:p>
    <w:p w:rsidR="00941E0C" w:rsidP="00755330" w:rsidRDefault="00902F86" w14:paraId="5A4FB91A" w14:textId="63C1266A">
      <w:pPr>
        <w:pStyle w:val="Odsekzoznamu"/>
        <w:numPr>
          <w:ilvl w:val="1"/>
          <w:numId w:val="11"/>
        </w:numPr>
      </w:pPr>
      <w:r>
        <w:t>SAIDC may require all or part of the conditions under §32 (integrity, taxes/levies, bankruptcy, etc.).</w:t>
      </w:r>
    </w:p>
    <w:p w:rsidR="00941E0C" w:rsidP="00755330" w:rsidRDefault="007C3730" w14:paraId="3F7CEED1" w14:textId="1AD2163B">
      <w:pPr>
        <w:pStyle w:val="Odsekzoznamu"/>
        <w:numPr>
          <w:ilvl w:val="1"/>
          <w:numId w:val="11"/>
        </w:numPr>
      </w:pPr>
      <w:r>
        <w:t>Proof: documents under §32(2), registration in the list of economic operators, preliminary affidavit, or ESPD (European Single Procurement Document).</w:t>
      </w:r>
    </w:p>
    <w:p w:rsidR="00941E0C" w:rsidRDefault="00941E0C" w14:paraId="36E28FA2" w14:textId="77777777"/>
    <w:p w:rsidR="00941E0C" w:rsidRDefault="007C3730" w14:paraId="2CAD0D2C" w14:textId="77777777">
      <w:r>
        <w:t>4. Above-threshold Contracts (from €221,000 excl. VAT):</w:t>
      </w:r>
    </w:p>
    <w:p w:rsidR="00941E0C" w:rsidP="00755330" w:rsidRDefault="00902F86" w14:paraId="05DF2A3A" w14:textId="02C794BA">
      <w:pPr>
        <w:pStyle w:val="Odsekzoznamu"/>
        <w:numPr>
          <w:ilvl w:val="1"/>
          <w:numId w:val="11"/>
        </w:numPr>
      </w:pPr>
      <w:r>
        <w:t>SAIDC requires full scope of §32 (personal status) and may require:</w:t>
      </w:r>
    </w:p>
    <w:p w:rsidR="00941E0C" w:rsidP="00755330" w:rsidRDefault="007C3730" w14:paraId="5D63B35B" w14:textId="19B103DB">
      <w:pPr>
        <w:pStyle w:val="Odsekzoznamu"/>
        <w:numPr>
          <w:ilvl w:val="1"/>
          <w:numId w:val="11"/>
        </w:numPr>
      </w:pPr>
      <w:r>
        <w:t>Economic and financial capacity (§33) – e.g., minimum annual turnover, insurance, financial statements.</w:t>
      </w:r>
    </w:p>
    <w:p w:rsidR="00941E0C" w:rsidP="00755330" w:rsidRDefault="007C3730" w14:paraId="54E4A46A" w14:textId="0C53C982">
      <w:pPr>
        <w:pStyle w:val="Odsekzoznamu"/>
        <w:numPr>
          <w:ilvl w:val="1"/>
          <w:numId w:val="11"/>
        </w:numPr>
      </w:pPr>
      <w:r>
        <w:t>Technical and professional capacity (§34) – e.g., references, qualified staff, technical equipment, samples.</w:t>
      </w:r>
    </w:p>
    <w:p w:rsidR="00941E0C" w:rsidP="00755330" w:rsidRDefault="007C3730" w14:paraId="62846819" w14:textId="6EC9F562">
      <w:pPr>
        <w:pStyle w:val="Odsekzoznamu"/>
        <w:numPr>
          <w:ilvl w:val="1"/>
          <w:numId w:val="11"/>
        </w:numPr>
      </w:pPr>
      <w:r>
        <w:t>Proof via relevant documents, preliminarily via ESPD.</w:t>
      </w:r>
    </w:p>
    <w:p w:rsidR="00941E0C" w:rsidRDefault="007C3730" w14:paraId="0C9A6F03" w14:textId="77777777">
      <w:pPr>
        <w:pStyle w:val="Nadpis1"/>
      </w:pPr>
      <w:bookmarkStart w:name="_Toc212103992" w:id="6"/>
      <w:r>
        <w:t>5. Evaluation of Bids</w:t>
      </w:r>
      <w:bookmarkEnd w:id="6"/>
    </w:p>
    <w:p w:rsidR="00941E0C" w:rsidRDefault="007C3730" w14:paraId="1BA17718" w14:textId="77777777">
      <w:r>
        <w:t>From €50,000: public opening of bids via IS EPVO.</w:t>
      </w:r>
    </w:p>
    <w:p w:rsidR="00941E0C" w:rsidRDefault="007C3730" w14:paraId="1C62A59E" w14:textId="77777777">
      <w:r>
        <w:t>Evaluation based on:</w:t>
      </w:r>
    </w:p>
    <w:p w:rsidR="00941E0C" w:rsidP="00755330" w:rsidRDefault="007C3730" w14:paraId="0F786655" w14:textId="6C1EF33F">
      <w:pPr>
        <w:pStyle w:val="Odsekzoznamu"/>
        <w:numPr>
          <w:ilvl w:val="1"/>
          <w:numId w:val="11"/>
        </w:numPr>
      </w:pPr>
      <w:r>
        <w:t>Lowest price,</w:t>
      </w:r>
    </w:p>
    <w:p w:rsidR="00941E0C" w:rsidP="00755330" w:rsidRDefault="007C3730" w14:paraId="18FA8CBE" w14:textId="39E07F52">
      <w:pPr>
        <w:pStyle w:val="Odsekzoznamu"/>
        <w:numPr>
          <w:ilvl w:val="1"/>
          <w:numId w:val="11"/>
        </w:numPr>
      </w:pPr>
      <w:r>
        <w:t>Price-quality ratio,</w:t>
      </w:r>
    </w:p>
    <w:p w:rsidR="00941E0C" w:rsidP="00755330" w:rsidRDefault="007C3730" w14:paraId="5EF621E6" w14:textId="6F44FEC3">
      <w:pPr>
        <w:pStyle w:val="Odsekzoznamu"/>
        <w:numPr>
          <w:ilvl w:val="1"/>
          <w:numId w:val="11"/>
        </w:numPr>
      </w:pPr>
      <w:r>
        <w:t>Cost-effectiveness.</w:t>
      </w:r>
    </w:p>
    <w:p w:rsidR="00941E0C" w:rsidRDefault="007C3730" w14:paraId="237F5C55" w14:textId="77777777">
      <w:r>
        <w:t>In some procedures, documents are checked only for the winner (reverse procedure).</w:t>
      </w:r>
    </w:p>
    <w:p w:rsidR="00941E0C" w:rsidRDefault="007C3730" w14:paraId="6805F24E" w14:textId="77777777">
      <w:pPr>
        <w:pStyle w:val="Nadpis1"/>
      </w:pPr>
      <w:bookmarkStart w:name="_Toc212103993" w:id="7"/>
      <w:r>
        <w:t>6. Rights of Bidders: Complaints and Objections</w:t>
      </w:r>
      <w:bookmarkEnd w:id="7"/>
    </w:p>
    <w:p w:rsidR="00941E0C" w:rsidRDefault="007C3730" w14:paraId="472D9AD6" w14:textId="77777777">
      <w:r>
        <w:t>1. Complaint:</w:t>
      </w:r>
    </w:p>
    <w:p w:rsidR="00941E0C" w:rsidP="00755330" w:rsidRDefault="007C3730" w14:paraId="3B99F14A" w14:textId="39EC7086">
      <w:pPr>
        <w:pStyle w:val="Odsekzoznamu"/>
        <w:numPr>
          <w:ilvl w:val="1"/>
          <w:numId w:val="11"/>
        </w:numPr>
      </w:pPr>
      <w:r>
        <w:t>When: for contracts ≥ €2,500 excl. VAT against any act/omission.</w:t>
      </w:r>
    </w:p>
    <w:p w:rsidR="00941E0C" w:rsidP="00755330" w:rsidRDefault="007C3730" w14:paraId="1BCA6CCA" w14:textId="63EAB9B3">
      <w:pPr>
        <w:pStyle w:val="Odsekzoznamu"/>
        <w:numPr>
          <w:ilvl w:val="1"/>
          <w:numId w:val="11"/>
        </w:numPr>
      </w:pPr>
      <w:r>
        <w:t>Deadline: 3 working days from when the bidder learned or could have learned of the act.</w:t>
      </w:r>
    </w:p>
    <w:p w:rsidR="00941E0C" w:rsidP="00755330" w:rsidRDefault="007C3730" w14:paraId="3FBC511B" w14:textId="577F539F">
      <w:pPr>
        <w:pStyle w:val="Odsekzoznamu"/>
        <w:numPr>
          <w:ilvl w:val="1"/>
          <w:numId w:val="11"/>
        </w:numPr>
      </w:pPr>
      <w:proofErr w:type="gramStart"/>
      <w:r>
        <w:t>Form</w:t>
      </w:r>
      <w:proofErr w:type="gramEnd"/>
      <w:r>
        <w:t>: via the same communication tool used for the contract (e-mail/IS EPVO).</w:t>
      </w:r>
    </w:p>
    <w:p w:rsidR="00941E0C" w:rsidP="00755330" w:rsidRDefault="007C3730" w14:paraId="36805CD7" w14:textId="532B5072">
      <w:pPr>
        <w:pStyle w:val="Odsekzoznamu"/>
        <w:numPr>
          <w:ilvl w:val="1"/>
          <w:numId w:val="11"/>
        </w:numPr>
      </w:pPr>
      <w:r>
        <w:t>Content: (</w:t>
      </w:r>
      <w:proofErr w:type="spellStart"/>
      <w:r>
        <w:t>i</w:t>
      </w:r>
      <w:proofErr w:type="spellEnd"/>
      <w:r>
        <w:t>) identification of contested facts, (ii) description and evidence, (iii) proposed decision.</w:t>
      </w:r>
    </w:p>
    <w:p w:rsidR="00941E0C" w:rsidP="00755330" w:rsidRDefault="007C3730" w14:paraId="75766A63" w14:textId="70088AE1">
      <w:pPr>
        <w:pStyle w:val="Odsekzoznamu"/>
        <w:numPr>
          <w:ilvl w:val="1"/>
          <w:numId w:val="11"/>
        </w:numPr>
      </w:pPr>
      <w:r>
        <w:t xml:space="preserve">Who decides and when: </w:t>
      </w:r>
      <w:r w:rsidR="00902F86">
        <w:t>SAIDC</w:t>
      </w:r>
      <w:r>
        <w:t xml:space="preserve"> Director within 10 working days; decision is delivered within this period.</w:t>
      </w:r>
    </w:p>
    <w:p w:rsidR="00941E0C" w:rsidP="00755330" w:rsidRDefault="007C3730" w14:paraId="5ADC4057" w14:textId="184DD176">
      <w:pPr>
        <w:pStyle w:val="Odsekzoznamu"/>
        <w:numPr>
          <w:ilvl w:val="1"/>
          <w:numId w:val="11"/>
        </w:numPr>
      </w:pPr>
      <w:r>
        <w:t>Note: Not applicable where the law allows objections under §170 et seq. (mainly above-threshold).</w:t>
      </w:r>
    </w:p>
    <w:p w:rsidR="00941E0C" w:rsidRDefault="00941E0C" w14:paraId="4E9D247E" w14:textId="77777777"/>
    <w:p w:rsidR="00941E0C" w:rsidRDefault="007C3730" w14:paraId="7D8DDC46" w14:textId="77777777">
      <w:r>
        <w:t>2. Objections (external remedy under the law):</w:t>
      </w:r>
    </w:p>
    <w:p w:rsidR="00941E0C" w:rsidP="00755330" w:rsidRDefault="007C3730" w14:paraId="464855DA" w14:textId="64BEB33C">
      <w:pPr>
        <w:pStyle w:val="Odsekzoznamu"/>
        <w:numPr>
          <w:ilvl w:val="1"/>
          <w:numId w:val="11"/>
        </w:numPr>
      </w:pPr>
      <w:r>
        <w:t>For above-threshold procedures under the Public Procurement Act – submitted to the Public Procurement Office (ÚVO) within legal deadlines; deadline info is included in the result notice.</w:t>
      </w:r>
    </w:p>
    <w:p w:rsidR="00941E0C" w:rsidRDefault="007C3730" w14:paraId="60125FBD" w14:textId="77777777">
      <w:pPr>
        <w:pStyle w:val="Nadpis1"/>
      </w:pPr>
      <w:bookmarkStart w:name="_Toc212103994" w:id="8"/>
      <w:r>
        <w:t>7. Publication, Results, and Contract Effectiveness</w:t>
      </w:r>
      <w:bookmarkEnd w:id="8"/>
    </w:p>
    <w:p w:rsidR="00941E0C" w:rsidRDefault="007C3730" w14:paraId="3BEFC3CE" w14:textId="629A48FB">
      <w:r>
        <w:t xml:space="preserve">Notices and results: </w:t>
      </w:r>
      <w:r>
        <w:t>Above-threshold: EU Official Journal + Public Procurement Bulletin; below-threshold: Bulletin; contract and procurement report published on the contracting authority's profile.</w:t>
      </w:r>
    </w:p>
    <w:p w:rsidR="00941E0C" w:rsidRDefault="007C3730" w14:paraId="7837901F" w14:textId="53EEAF82">
      <w:r>
        <w:t xml:space="preserve"> Contract effectiveness: the day after publication in the Central Register of Contracts (CRZ).</w:t>
      </w:r>
    </w:p>
    <w:p w:rsidR="00941E0C" w:rsidRDefault="007C3730" w14:paraId="06A0F0BF" w14:textId="0B55E4B4">
      <w:r>
        <w:t>Orders: published by the Ministry of Foreign and European Affairs (</w:t>
      </w:r>
      <w:r w:rsidR="004E165C">
        <w:t>MZVEZ</w:t>
      </w:r>
      <w:r>
        <w:t xml:space="preserve"> SR) on its website.</w:t>
      </w:r>
    </w:p>
    <w:p w:rsidR="00941E0C" w:rsidRDefault="007C3730" w14:paraId="6740900C" w14:textId="234F3101">
      <w:pPr>
        <w:pStyle w:val="Nadpis1"/>
      </w:pPr>
      <w:bookmarkStart w:name="_Toc212103995" w:id="9"/>
      <w:r>
        <w:t xml:space="preserve">8. </w:t>
      </w:r>
      <w:r w:rsidRPr="004205CB" w:rsidR="004205CB">
        <w:t>Procurement of Below-Threshold Contracts in the Context of Development Cooperation or International Humanitarian Assistance</w:t>
      </w:r>
      <w:bookmarkEnd w:id="9"/>
    </w:p>
    <w:p w:rsidR="00941E0C" w:rsidRDefault="007C3730" w14:paraId="32E31332" w14:textId="77777777">
      <w:r>
        <w:t xml:space="preserve">a) Funded from </w:t>
      </w:r>
      <w:r>
        <w:t>the state budget of the Slovak Republic:</w:t>
      </w:r>
    </w:p>
    <w:p w:rsidR="00941E0C" w:rsidP="00755330" w:rsidRDefault="007C3730" w14:paraId="4C644226" w14:textId="3AEDAAE0">
      <w:pPr>
        <w:pStyle w:val="Odsekzoznamu"/>
        <w:numPr>
          <w:ilvl w:val="1"/>
          <w:numId w:val="11"/>
        </w:numPr>
      </w:pPr>
      <w:r>
        <w:t>The Public Procurement Act does not apply to below-threshold contracts for development/humanitarian aid.</w:t>
      </w:r>
    </w:p>
    <w:p w:rsidR="00941E0C" w:rsidP="00755330" w:rsidRDefault="00902F86" w14:paraId="3D4A959B" w14:textId="21888B4D">
      <w:pPr>
        <w:pStyle w:val="Odsekzoznamu"/>
        <w:numPr>
          <w:ilvl w:val="1"/>
          <w:numId w:val="11"/>
        </w:numPr>
      </w:pPr>
      <w:r>
        <w:t>SAIDC publishes tender conditions at least 10 working days before the submission deadline on its website.</w:t>
      </w:r>
    </w:p>
    <w:p w:rsidR="00941E0C" w:rsidP="00755330" w:rsidRDefault="007C3730" w14:paraId="715A2110" w14:textId="56E446DB">
      <w:pPr>
        <w:pStyle w:val="Odsekzoznamu"/>
        <w:numPr>
          <w:ilvl w:val="1"/>
          <w:numId w:val="11"/>
        </w:numPr>
      </w:pPr>
      <w:r>
        <w:t xml:space="preserve">Bids are evaluated by a commission of the </w:t>
      </w:r>
      <w:r w:rsidR="004E165C">
        <w:t>MZVEZ</w:t>
      </w:r>
      <w:r>
        <w:t xml:space="preserve"> SR (</w:t>
      </w:r>
      <w:r w:rsidR="00902F86">
        <w:t>SAIDC</w:t>
      </w:r>
      <w:r>
        <w:t xml:space="preserve"> forwards bids to </w:t>
      </w:r>
      <w:r w:rsidR="004E165C">
        <w:t>MZVEZ</w:t>
      </w:r>
      <w:r>
        <w:t xml:space="preserve"> SR).</w:t>
      </w:r>
    </w:p>
    <w:p w:rsidR="00941E0C" w:rsidRDefault="00941E0C" w14:paraId="29B36723" w14:textId="77777777"/>
    <w:p w:rsidR="004E165C" w:rsidRDefault="004E165C" w14:paraId="1C4289C8" w14:textId="77777777"/>
    <w:p w:rsidR="5740173F" w:rsidRDefault="5740173F" w14:paraId="7F13E33B" w14:textId="54089366"/>
    <w:p w:rsidR="5740173F" w:rsidRDefault="5740173F" w14:paraId="1500FDAC" w14:textId="6197695C"/>
    <w:p w:rsidR="00941E0C" w:rsidRDefault="007C3730" w14:paraId="62887B29" w14:noSpellErr="1" w14:textId="69DCB57B">
      <w:r w:rsidR="007C3730">
        <w:rPr/>
        <w:t>b)</w:t>
      </w:r>
      <w:r w:rsidR="007C3730">
        <w:rPr/>
        <w:t xml:space="preserve"> Funded from off-budget sources:</w:t>
      </w:r>
    </w:p>
    <w:p w:rsidR="00941E0C" w:rsidP="00755330" w:rsidRDefault="007C3730" w14:paraId="28E9BEBE" w14:textId="31BF93AA">
      <w:pPr>
        <w:pStyle w:val="Odsekzoznamu"/>
        <w:numPr>
          <w:ilvl w:val="1"/>
          <w:numId w:val="11"/>
        </w:numPr>
      </w:pPr>
      <w:r>
        <w:t xml:space="preserve">The Public Procurement Act does not </w:t>
      </w:r>
      <w:proofErr w:type="gramStart"/>
      <w:r>
        <w:t>apply to</w:t>
      </w:r>
      <w:proofErr w:type="gramEnd"/>
      <w:r>
        <w:t xml:space="preserve"> below-threshold; a more flexible regime applies, but principles from Chapter 2 remain valid.</w:t>
      </w:r>
    </w:p>
    <w:p w:rsidR="00941E0C" w:rsidP="00755330" w:rsidRDefault="007C3730" w14:paraId="2A47599D" w14:textId="22852796">
      <w:pPr>
        <w:pStyle w:val="Odsekzoznamu"/>
        <w:numPr>
          <w:ilvl w:val="1"/>
          <w:numId w:val="11"/>
        </w:numPr>
      </w:pPr>
      <w:r>
        <w:t>Verification of foreign entities: information from partners, official websites, foreign registers, and public databases; a declaration of eligibility may be required.</w:t>
      </w:r>
    </w:p>
    <w:p w:rsidR="00941E0C" w:rsidP="00755330" w:rsidRDefault="007C3730" w14:paraId="0E45A6AB" w14:textId="0D79B905">
      <w:pPr>
        <w:pStyle w:val="Odsekzoznamu"/>
        <w:numPr>
          <w:ilvl w:val="1"/>
          <w:numId w:val="11"/>
        </w:numPr>
      </w:pPr>
      <w:r>
        <w:t xml:space="preserve">Calls: sent via e-mail; for goods €100,000 – €220,999.99 </w:t>
      </w:r>
      <w:r w:rsidR="00902F86">
        <w:t>SAIDC</w:t>
      </w:r>
      <w:r>
        <w:t xml:space="preserve"> also publishes the call on its website.</w:t>
      </w:r>
    </w:p>
    <w:sectPr w:rsidR="00941E0C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E62D68"/>
    <w:multiLevelType w:val="hybridMultilevel"/>
    <w:tmpl w:val="10D637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04D894">
      <w:start w:val="3"/>
      <w:numFmt w:val="bullet"/>
      <w:lvlText w:val="-"/>
      <w:lvlJc w:val="left"/>
      <w:pPr>
        <w:ind w:left="1440" w:hanging="360"/>
      </w:pPr>
      <w:rPr>
        <w:rFonts w:hint="default" w:ascii="Cambria" w:hAnsi="Cambria" w:eastAsiaTheme="minorEastAsia" w:cstheme="minorBid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5A0423"/>
    <w:multiLevelType w:val="hybridMultilevel"/>
    <w:tmpl w:val="B058C712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F36A5C"/>
    <w:multiLevelType w:val="hybridMultilevel"/>
    <w:tmpl w:val="D278CD60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3"/>
      <w:numFmt w:val="bullet"/>
      <w:lvlText w:val="-"/>
      <w:lvlJc w:val="left"/>
      <w:pPr>
        <w:ind w:left="1800" w:hanging="360"/>
      </w:pPr>
      <w:rPr>
        <w:rFonts w:hint="default" w:ascii="Cambria" w:hAnsi="Cambria" w:eastAsiaTheme="minorEastAsia" w:cstheme="minorBidi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122C7"/>
    <w:multiLevelType w:val="hybridMultilevel"/>
    <w:tmpl w:val="E7B00DF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924B50"/>
    <w:multiLevelType w:val="hybridMultilevel"/>
    <w:tmpl w:val="1E727892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D46468"/>
    <w:multiLevelType w:val="hybridMultilevel"/>
    <w:tmpl w:val="8110A436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250C62"/>
    <w:multiLevelType w:val="hybridMultilevel"/>
    <w:tmpl w:val="58C4C496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9F4401"/>
    <w:multiLevelType w:val="hybridMultilevel"/>
    <w:tmpl w:val="5ED0A4C2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4F695D"/>
    <w:multiLevelType w:val="hybridMultilevel"/>
    <w:tmpl w:val="B6CA0222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F2A79C2"/>
    <w:multiLevelType w:val="hybridMultilevel"/>
    <w:tmpl w:val="AC501FC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89A7FE6"/>
    <w:multiLevelType w:val="hybridMultilevel"/>
    <w:tmpl w:val="FD4ABC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60D06"/>
    <w:multiLevelType w:val="hybridMultilevel"/>
    <w:tmpl w:val="94365A2E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4174939">
    <w:abstractNumId w:val="8"/>
  </w:num>
  <w:num w:numId="2" w16cid:durableId="1471751360">
    <w:abstractNumId w:val="6"/>
  </w:num>
  <w:num w:numId="3" w16cid:durableId="657347833">
    <w:abstractNumId w:val="5"/>
  </w:num>
  <w:num w:numId="4" w16cid:durableId="1197163273">
    <w:abstractNumId w:val="4"/>
  </w:num>
  <w:num w:numId="5" w16cid:durableId="139469347">
    <w:abstractNumId w:val="7"/>
  </w:num>
  <w:num w:numId="6" w16cid:durableId="1622416093">
    <w:abstractNumId w:val="3"/>
  </w:num>
  <w:num w:numId="7" w16cid:durableId="2005165137">
    <w:abstractNumId w:val="2"/>
  </w:num>
  <w:num w:numId="8" w16cid:durableId="1337728912">
    <w:abstractNumId w:val="1"/>
  </w:num>
  <w:num w:numId="9" w16cid:durableId="2064595613">
    <w:abstractNumId w:val="0"/>
  </w:num>
  <w:num w:numId="10" w16cid:durableId="1418867491">
    <w:abstractNumId w:val="19"/>
  </w:num>
  <w:num w:numId="11" w16cid:durableId="1430153885">
    <w:abstractNumId w:val="9"/>
  </w:num>
  <w:num w:numId="12" w16cid:durableId="110053252">
    <w:abstractNumId w:val="11"/>
  </w:num>
  <w:num w:numId="13" w16cid:durableId="114257653">
    <w:abstractNumId w:val="10"/>
  </w:num>
  <w:num w:numId="14" w16cid:durableId="1854805115">
    <w:abstractNumId w:val="16"/>
  </w:num>
  <w:num w:numId="15" w16cid:durableId="43799248">
    <w:abstractNumId w:val="14"/>
  </w:num>
  <w:num w:numId="16" w16cid:durableId="1111318416">
    <w:abstractNumId w:val="18"/>
  </w:num>
  <w:num w:numId="17" w16cid:durableId="167059539">
    <w:abstractNumId w:val="15"/>
  </w:num>
  <w:num w:numId="18" w16cid:durableId="654844432">
    <w:abstractNumId w:val="17"/>
  </w:num>
  <w:num w:numId="19" w16cid:durableId="866983964">
    <w:abstractNumId w:val="20"/>
  </w:num>
  <w:num w:numId="20" w16cid:durableId="1541477257">
    <w:abstractNumId w:val="12"/>
  </w:num>
  <w:num w:numId="21" w16cid:durableId="656156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157C52"/>
    <w:rsid w:val="0029639D"/>
    <w:rsid w:val="00326F90"/>
    <w:rsid w:val="003D44D6"/>
    <w:rsid w:val="004205CB"/>
    <w:rsid w:val="004E165C"/>
    <w:rsid w:val="00755330"/>
    <w:rsid w:val="007C3730"/>
    <w:rsid w:val="00902F86"/>
    <w:rsid w:val="00941E0C"/>
    <w:rsid w:val="00AA1D8D"/>
    <w:rsid w:val="00B47730"/>
    <w:rsid w:val="00CB0664"/>
    <w:rsid w:val="00DC0C40"/>
    <w:rsid w:val="00FC693F"/>
    <w:rsid w:val="5740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022AB"/>
  <w14:defaultImageDpi w14:val="300"/>
  <w15:docId w15:val="{A252B21C-2117-476E-ADC8-DC1E5DE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755330"/>
    <w:rPr>
      <w:rFonts w:ascii="Aptos" w:hAnsi="Aptos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533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styleId="Nadpis1Char" w:customStyle="1">
    <w:name w:val="Nadpis 1 Char"/>
    <w:basedOn w:val="Predvolenpsmoodseku"/>
    <w:link w:val="Nadpis1"/>
    <w:uiPriority w:val="9"/>
    <w:rsid w:val="00755330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1">
    <w:name w:val="Nadpis 2 Char"/>
    <w:basedOn w:val="Predvolenpsmoodseku"/>
    <w:link w:val="Nadpis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Predvolenpsmoodseku"/>
    <w:link w:val="Nadpis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ovChar" w:customStyle="1">
    <w:name w:val="Názov Char"/>
    <w:basedOn w:val="Predvolenpsmoodseku"/>
    <w:link w:val="Nzov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</w:rPr>
  </w:style>
  <w:style w:type="character" w:styleId="PodtitulChar" w:customStyle="1">
    <w:name w:val="Podtitul Char"/>
    <w:basedOn w:val="Predvolenpsmoodseku"/>
    <w:link w:val="Podtitu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styleId="Zkladntext2Char" w:customStyle="1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Zkladntext3Char" w:customStyle="1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makraChar" w:customStyle="1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styleId="CitciaChar" w:customStyle="1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Obsah1">
    <w:name w:val="toc 1"/>
    <w:basedOn w:val="Normlny"/>
    <w:next w:val="Normlny"/>
    <w:autoRedefine/>
    <w:uiPriority w:val="39"/>
    <w:unhideWhenUsed/>
    <w:rsid w:val="00755330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7553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F8B391ECF504394352544B9A5744D" ma:contentTypeVersion="11" ma:contentTypeDescription="Umožňuje vytvoriť nový dokument." ma:contentTypeScope="" ma:versionID="584af377a105e481781da2aac75226f0">
  <xsd:schema xmlns:xsd="http://www.w3.org/2001/XMLSchema" xmlns:xs="http://www.w3.org/2001/XMLSchema" xmlns:p="http://schemas.microsoft.com/office/2006/metadata/properties" xmlns:ns2="5dd527e4-6602-4dc1-95df-2b340a8fc9fb" xmlns:ns3="60e9b724-f07b-485a-88b5-0cc8936533e2" targetNamespace="http://schemas.microsoft.com/office/2006/metadata/properties" ma:root="true" ma:fieldsID="aae90cc74de3d0de7f0359bc8d71a680" ns2:_="" ns3:_="">
    <xsd:import namespace="5dd527e4-6602-4dc1-95df-2b340a8fc9fb"/>
    <xsd:import namespace="60e9b724-f07b-485a-88b5-0cc893653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527e4-6602-4dc1-95df-2b340a8fc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b724-f07b-485a-88b5-0cc893653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b4ed75-563c-46c0-917e-568cd68d78f3}" ma:internalName="TaxCatchAll" ma:showField="CatchAllData" ma:web="60e9b724-f07b-485a-88b5-0cc893653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527e4-6602-4dc1-95df-2b340a8fc9fb">
      <Terms xmlns="http://schemas.microsoft.com/office/infopath/2007/PartnerControls"/>
    </lcf76f155ced4ddcb4097134ff3c332f>
    <TaxCatchAll xmlns="60e9b724-f07b-485a-88b5-0cc8936533e2" xsi:nil="true"/>
  </documentManagement>
</p:properties>
</file>

<file path=customXml/itemProps1.xml><?xml version="1.0" encoding="utf-8"?>
<ds:datastoreItem xmlns:ds="http://schemas.openxmlformats.org/officeDocument/2006/customXml" ds:itemID="{BDCF36C8-314B-452D-A599-9F060692D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62BAB-8003-4855-99A1-53DFA4CE0E46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21AD56-8BAE-4F2B-BB27-E995B590D2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Timotej Hnatko</cp:lastModifiedBy>
  <cp:revision>5</cp:revision>
  <dcterms:created xsi:type="dcterms:W3CDTF">2025-10-23T09:36:00Z</dcterms:created>
  <dcterms:modified xsi:type="dcterms:W3CDTF">2025-10-23T09:36:44Z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0x0101009A7F8B391ECF504394352544B9A5744D</vt:lpwstr>
  </property>
</Properties>
</file>