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0F85A" w14:textId="77777777" w:rsidR="00284C0F" w:rsidRDefault="00284C0F" w:rsidP="0044196A">
      <w:pPr>
        <w:shd w:val="clear" w:color="auto" w:fill="DEEAF6" w:themeFill="accent1" w:themeFillTint="33"/>
        <w:tabs>
          <w:tab w:val="center" w:pos="4890"/>
        </w:tabs>
        <w:jc w:val="center"/>
        <w:rPr>
          <w:b/>
          <w:bCs/>
          <w:sz w:val="24"/>
          <w:szCs w:val="24"/>
        </w:rPr>
      </w:pPr>
      <w:r>
        <w:rPr>
          <w:b/>
          <w:bCs/>
          <w:sz w:val="24"/>
          <w:szCs w:val="24"/>
        </w:rPr>
        <w:t>Často kladené otázky</w:t>
      </w:r>
    </w:p>
    <w:p w14:paraId="0BC45BF5" w14:textId="77777777" w:rsidR="00DA0D47" w:rsidRPr="00DA0D47" w:rsidRDefault="00DA0D47" w:rsidP="00DA0D47">
      <w:pPr>
        <w:shd w:val="clear" w:color="auto" w:fill="DEEAF6" w:themeFill="accent1" w:themeFillTint="33"/>
        <w:tabs>
          <w:tab w:val="center" w:pos="4890"/>
        </w:tabs>
        <w:jc w:val="center"/>
        <w:rPr>
          <w:b/>
          <w:bCs/>
          <w:sz w:val="24"/>
          <w:szCs w:val="24"/>
        </w:rPr>
      </w:pPr>
      <w:r>
        <w:rPr>
          <w:b/>
          <w:bCs/>
          <w:sz w:val="24"/>
          <w:szCs w:val="24"/>
        </w:rPr>
        <w:t xml:space="preserve">Realizácia </w:t>
      </w:r>
      <w:r w:rsidRPr="00DA0D47">
        <w:rPr>
          <w:b/>
          <w:bCs/>
          <w:sz w:val="24"/>
          <w:szCs w:val="24"/>
        </w:rPr>
        <w:t xml:space="preserve">projektu  </w:t>
      </w:r>
    </w:p>
    <w:p w14:paraId="07086F85" w14:textId="77777777" w:rsidR="00DA0D47" w:rsidRPr="00DA0D47" w:rsidRDefault="00DA0D47" w:rsidP="00DA0D47">
      <w:pPr>
        <w:shd w:val="clear" w:color="auto" w:fill="DEEAF6" w:themeFill="accent1" w:themeFillTint="33"/>
        <w:tabs>
          <w:tab w:val="center" w:pos="4890"/>
        </w:tabs>
        <w:jc w:val="center"/>
        <w:rPr>
          <w:b/>
          <w:bCs/>
          <w:sz w:val="24"/>
          <w:szCs w:val="24"/>
        </w:rPr>
      </w:pPr>
      <w:r w:rsidRPr="00DA0D47">
        <w:rPr>
          <w:b/>
          <w:bCs/>
          <w:sz w:val="24"/>
          <w:szCs w:val="24"/>
        </w:rPr>
        <w:t xml:space="preserve">DOTÁCIE  </w:t>
      </w:r>
    </w:p>
    <w:p w14:paraId="69AAE68E" w14:textId="77777777" w:rsidR="00DA0D47" w:rsidRPr="00DA0D47" w:rsidRDefault="00DA0D47" w:rsidP="00DA0D47">
      <w:pPr>
        <w:shd w:val="clear" w:color="auto" w:fill="DEEAF6" w:themeFill="accent1" w:themeFillTint="33"/>
        <w:tabs>
          <w:tab w:val="center" w:pos="4890"/>
        </w:tabs>
        <w:jc w:val="center"/>
        <w:rPr>
          <w:b/>
          <w:bCs/>
          <w:sz w:val="24"/>
          <w:szCs w:val="24"/>
        </w:rPr>
      </w:pPr>
      <w:r w:rsidRPr="00DA0D47">
        <w:rPr>
          <w:b/>
          <w:bCs/>
          <w:sz w:val="24"/>
          <w:szCs w:val="24"/>
        </w:rPr>
        <w:t xml:space="preserve">Finančné otázky  </w:t>
      </w:r>
    </w:p>
    <w:p w14:paraId="5C5BB9FD" w14:textId="77777777" w:rsidR="00597AC6" w:rsidRDefault="00597AC6" w:rsidP="00597AC6">
      <w:pPr>
        <w:shd w:val="clear" w:color="auto" w:fill="FFFFFF" w:themeFill="background1"/>
        <w:spacing w:before="120" w:after="120" w:line="240" w:lineRule="auto"/>
        <w:jc w:val="both"/>
        <w:rPr>
          <w:rFonts w:cstheme="minorHAnsi"/>
          <w:color w:val="1F4E79" w:themeColor="accent1" w:themeShade="80"/>
        </w:rPr>
      </w:pPr>
    </w:p>
    <w:p w14:paraId="45FB0809" w14:textId="77777777" w:rsidR="00DA0D47" w:rsidRDefault="00DA0D47" w:rsidP="00DA0D47">
      <w:pPr>
        <w:pStyle w:val="Odsekzoznamu"/>
        <w:numPr>
          <w:ilvl w:val="0"/>
          <w:numId w:val="1"/>
        </w:numPr>
        <w:spacing w:after="0"/>
        <w:jc w:val="both"/>
        <w:rPr>
          <w:rFonts w:ascii="Calibri" w:hAnsi="Calibri" w:cs="Calibri"/>
          <w:b/>
          <w:bCs/>
        </w:rPr>
      </w:pPr>
      <w:r>
        <w:rPr>
          <w:rFonts w:ascii="Calibri" w:hAnsi="Calibri" w:cs="Calibri"/>
          <w:b/>
          <w:bCs/>
        </w:rPr>
        <w:t>Vzťahujú sa pravidlá pri presunoch v rozpočte, ktoré sú vo finančnej príručke stanovené pre rozvojové projekty aj na rozpočtové zmeny v humanitárnych projektoch?</w:t>
      </w:r>
    </w:p>
    <w:p w14:paraId="4A70150A" w14:textId="578A4E8E" w:rsidR="00DA0D47" w:rsidRPr="00DA0D47" w:rsidRDefault="00DA0D47" w:rsidP="00DA0D47">
      <w:pPr>
        <w:spacing w:before="120" w:after="120" w:line="240" w:lineRule="auto"/>
        <w:jc w:val="both"/>
        <w:rPr>
          <w:rFonts w:cstheme="minorHAnsi"/>
          <w:color w:val="1F4E79" w:themeColor="accent1" w:themeShade="80"/>
        </w:rPr>
      </w:pPr>
      <w:r w:rsidRPr="00DA0D47">
        <w:rPr>
          <w:rFonts w:cstheme="minorHAnsi"/>
          <w:color w:val="1F4E79" w:themeColor="accent1" w:themeShade="80"/>
        </w:rPr>
        <w:t>Prijímateľ  je oprávnený upraviť rozpočet v rámci rozvojového projektu prostredníctvom presunov medzi skupinami</w:t>
      </w:r>
      <w:r w:rsidR="003E5B0D">
        <w:rPr>
          <w:rFonts w:cstheme="minorHAnsi"/>
          <w:color w:val="1F4E79" w:themeColor="accent1" w:themeShade="80"/>
        </w:rPr>
        <w:t xml:space="preserve"> nákladov </w:t>
      </w:r>
      <w:r w:rsidRPr="00DA0D47">
        <w:rPr>
          <w:rFonts w:cstheme="minorHAnsi"/>
          <w:color w:val="1F4E79" w:themeColor="accent1" w:themeShade="80"/>
        </w:rPr>
        <w:t xml:space="preserve"> alebo položkami rozpočtu. Pri presunoch do 10% v rámci skupiny nákladov je žiadateľ oprávnený túto skutočnosti oznámiť SAMRS elektronicky minimálne 5 dní pred vykonaním zmeny. Pri presunoch nad 10% je prijímateľ povinný o zmenu požiadať elektronicky zaslaním </w:t>
      </w:r>
      <w:proofErr w:type="spellStart"/>
      <w:r w:rsidRPr="00DA0D47">
        <w:rPr>
          <w:rFonts w:cstheme="minorHAnsi"/>
          <w:color w:val="1F4E79" w:themeColor="accent1" w:themeShade="80"/>
        </w:rPr>
        <w:t>skenu</w:t>
      </w:r>
      <w:proofErr w:type="spellEnd"/>
      <w:r w:rsidRPr="00DA0D47">
        <w:rPr>
          <w:rFonts w:cstheme="minorHAnsi"/>
          <w:color w:val="1F4E79" w:themeColor="accent1" w:themeShade="80"/>
        </w:rPr>
        <w:t xml:space="preserve"> podpísanej žiadosti minimálne 5 dní pred vykonaním zmeny.</w:t>
      </w:r>
    </w:p>
    <w:p w14:paraId="48E3FD52" w14:textId="77777777" w:rsidR="00DA0D47" w:rsidRPr="00DA0D47" w:rsidRDefault="00DA0D47" w:rsidP="00DA0D47">
      <w:pPr>
        <w:spacing w:before="120" w:after="120" w:line="240" w:lineRule="auto"/>
        <w:jc w:val="both"/>
        <w:rPr>
          <w:rFonts w:cstheme="minorHAnsi"/>
          <w:color w:val="1F4E79" w:themeColor="accent1" w:themeShade="80"/>
        </w:rPr>
      </w:pPr>
      <w:r w:rsidRPr="00DA0D47">
        <w:rPr>
          <w:rFonts w:cstheme="minorHAnsi"/>
          <w:color w:val="1F4E79" w:themeColor="accent1" w:themeShade="80"/>
        </w:rPr>
        <w:t>Pre</w:t>
      </w:r>
      <w:r>
        <w:rPr>
          <w:rFonts w:cstheme="minorHAnsi"/>
          <w:color w:val="1F4E79" w:themeColor="accent1" w:themeShade="80"/>
        </w:rPr>
        <w:t xml:space="preserve"> </w:t>
      </w:r>
      <w:r w:rsidRPr="00DA0D47">
        <w:rPr>
          <w:rFonts w:cstheme="minorHAnsi"/>
          <w:color w:val="1F4E79" w:themeColor="accent1" w:themeShade="80"/>
        </w:rPr>
        <w:t>humanitárne projekty sú</w:t>
      </w:r>
      <w:r>
        <w:rPr>
          <w:rFonts w:cstheme="minorHAnsi"/>
          <w:color w:val="1F4E79" w:themeColor="accent1" w:themeShade="80"/>
        </w:rPr>
        <w:t>,</w:t>
      </w:r>
      <w:r w:rsidRPr="00DA0D47">
        <w:rPr>
          <w:rFonts w:cstheme="minorHAnsi"/>
          <w:color w:val="1F4E79" w:themeColor="accent1" w:themeShade="80"/>
        </w:rPr>
        <w:t xml:space="preserve"> rovnako ako v prípade rozvojových projektov</w:t>
      </w:r>
      <w:r>
        <w:rPr>
          <w:rFonts w:cstheme="minorHAnsi"/>
          <w:color w:val="1F4E79" w:themeColor="accent1" w:themeShade="80"/>
        </w:rPr>
        <w:t>,</w:t>
      </w:r>
      <w:r w:rsidRPr="00DA0D47">
        <w:rPr>
          <w:rFonts w:cstheme="minorHAnsi"/>
          <w:color w:val="1F4E79" w:themeColor="accent1" w:themeShade="80"/>
        </w:rPr>
        <w:t xml:space="preserve"> presuny v</w:t>
      </w:r>
      <w:r>
        <w:rPr>
          <w:rFonts w:cstheme="minorHAnsi"/>
          <w:color w:val="1F4E79" w:themeColor="accent1" w:themeShade="80"/>
        </w:rPr>
        <w:t> </w:t>
      </w:r>
      <w:r w:rsidRPr="00DA0D47">
        <w:rPr>
          <w:rFonts w:cstheme="minorHAnsi"/>
          <w:color w:val="1F4E79" w:themeColor="accent1" w:themeShade="80"/>
        </w:rPr>
        <w:t>rozpočte</w:t>
      </w:r>
      <w:r>
        <w:rPr>
          <w:rFonts w:cstheme="minorHAnsi"/>
          <w:color w:val="1F4E79" w:themeColor="accent1" w:themeShade="80"/>
        </w:rPr>
        <w:t xml:space="preserve"> </w:t>
      </w:r>
      <w:r w:rsidRPr="00DA0D47">
        <w:rPr>
          <w:rFonts w:cstheme="minorHAnsi"/>
          <w:color w:val="1F4E79" w:themeColor="accent1" w:themeShade="80"/>
        </w:rPr>
        <w:t xml:space="preserve">oprávnené. Akýkoľvek presun medzi skupinami nákladov je možné uskutočniť do výšky 25% zo schválenej sumy v skupine nákladov na základe elektronického oznámenia. V prípade presunu nad 25% medzi skupinami nákladov je prijímateľ povinný požiadať SAMRS o jeho schválenie elektronicky zaslaním </w:t>
      </w:r>
      <w:proofErr w:type="spellStart"/>
      <w:r w:rsidRPr="00DA0D47">
        <w:rPr>
          <w:rFonts w:cstheme="minorHAnsi"/>
          <w:color w:val="1F4E79" w:themeColor="accent1" w:themeShade="80"/>
        </w:rPr>
        <w:t>skenu</w:t>
      </w:r>
      <w:proofErr w:type="spellEnd"/>
      <w:r w:rsidRPr="00DA0D47">
        <w:rPr>
          <w:rFonts w:cstheme="minorHAnsi"/>
          <w:color w:val="1F4E79" w:themeColor="accent1" w:themeShade="80"/>
        </w:rPr>
        <w:t xml:space="preserve"> podpísanej žiadosti.    </w:t>
      </w:r>
    </w:p>
    <w:p w14:paraId="6D7A00B6" w14:textId="67D7FE76" w:rsidR="00DA0D47" w:rsidRPr="00DA0D47" w:rsidRDefault="00DA0D47" w:rsidP="00DA0D47">
      <w:pPr>
        <w:spacing w:before="120" w:after="120" w:line="240" w:lineRule="auto"/>
        <w:jc w:val="both"/>
        <w:rPr>
          <w:rFonts w:cstheme="minorHAnsi"/>
          <w:b/>
          <w:color w:val="1F4E79" w:themeColor="accent1" w:themeShade="80"/>
        </w:rPr>
      </w:pPr>
      <w:r w:rsidRPr="00DA0D47">
        <w:rPr>
          <w:rFonts w:cstheme="minorHAnsi"/>
          <w:b/>
          <w:color w:val="1F4E79" w:themeColor="accent1" w:themeShade="80"/>
        </w:rPr>
        <w:t xml:space="preserve">PRÍKLAD: PRESUN V RÁMCI POLOŽIEK/SKUPÍN </w:t>
      </w:r>
    </w:p>
    <w:p w14:paraId="7C7A42B8" w14:textId="77777777" w:rsidR="00DA0D47" w:rsidRPr="00DA0D47" w:rsidRDefault="00DA0D47" w:rsidP="00DA0D47">
      <w:pPr>
        <w:spacing w:before="120" w:after="120" w:line="240" w:lineRule="auto"/>
        <w:jc w:val="both"/>
        <w:rPr>
          <w:rFonts w:cstheme="minorHAnsi"/>
          <w:color w:val="1F4E79" w:themeColor="accent1" w:themeShade="80"/>
        </w:rPr>
      </w:pPr>
      <w:r w:rsidRPr="00DA0D47">
        <w:rPr>
          <w:rFonts w:cstheme="minorHAnsi"/>
          <w:color w:val="1F4E79" w:themeColor="accent1" w:themeShade="80"/>
        </w:rPr>
        <w:t xml:space="preserve">Schválený rozpočet na položku: </w:t>
      </w:r>
    </w:p>
    <w:p w14:paraId="795E8FBE" w14:textId="77777777" w:rsidR="00DA0D47" w:rsidRPr="00DA0D47" w:rsidRDefault="00DA0D47" w:rsidP="00DA0D47">
      <w:pPr>
        <w:spacing w:before="120" w:after="120" w:line="240" w:lineRule="auto"/>
        <w:jc w:val="both"/>
        <w:rPr>
          <w:rFonts w:cstheme="minorHAnsi"/>
          <w:color w:val="1F4E79" w:themeColor="accent1" w:themeShade="80"/>
        </w:rPr>
      </w:pPr>
      <w:r w:rsidRPr="00DA0D47">
        <w:rPr>
          <w:rFonts w:cstheme="minorHAnsi"/>
          <w:color w:val="1F4E79" w:themeColor="accent1" w:themeShade="80"/>
        </w:rPr>
        <w:t>Položka A: 40 000 EUR   (25% - 10 000 EUR)</w:t>
      </w:r>
    </w:p>
    <w:p w14:paraId="3BBD5273" w14:textId="77777777" w:rsidR="00DA0D47" w:rsidRPr="00DA0D47" w:rsidRDefault="00DA0D47" w:rsidP="00DA0D47">
      <w:pPr>
        <w:spacing w:before="120" w:after="120" w:line="240" w:lineRule="auto"/>
        <w:jc w:val="both"/>
        <w:rPr>
          <w:rFonts w:cstheme="minorHAnsi"/>
          <w:color w:val="1F4E79" w:themeColor="accent1" w:themeShade="80"/>
        </w:rPr>
      </w:pPr>
      <w:r w:rsidRPr="00DA0D47">
        <w:rPr>
          <w:rFonts w:cstheme="minorHAnsi"/>
          <w:color w:val="1F4E79" w:themeColor="accent1" w:themeShade="80"/>
        </w:rPr>
        <w:t>Položka B: 16 000 EUR (25% - 4 000 EUR)</w:t>
      </w:r>
    </w:p>
    <w:p w14:paraId="6910EB4E" w14:textId="77777777" w:rsidR="00DA0D47" w:rsidRPr="00DA0D47" w:rsidRDefault="00DA0D47" w:rsidP="00DA0D47">
      <w:pPr>
        <w:spacing w:before="120" w:after="120" w:line="240" w:lineRule="auto"/>
        <w:jc w:val="both"/>
        <w:rPr>
          <w:rFonts w:cstheme="minorHAnsi"/>
          <w:color w:val="1F4E79" w:themeColor="accent1" w:themeShade="80"/>
        </w:rPr>
      </w:pPr>
      <w:r w:rsidRPr="00DA0D47">
        <w:rPr>
          <w:rFonts w:cstheme="minorHAnsi"/>
          <w:color w:val="1F4E79" w:themeColor="accent1" w:themeShade="80"/>
        </w:rPr>
        <w:t>Presun z A:   Max. 25% z = 10 000 EUR</w:t>
      </w:r>
    </w:p>
    <w:p w14:paraId="491FEDE5" w14:textId="77777777" w:rsidR="00DA0D47" w:rsidRPr="00DA0D47" w:rsidRDefault="00DA0D47" w:rsidP="00DA0D47">
      <w:pPr>
        <w:spacing w:before="120" w:after="120" w:line="240" w:lineRule="auto"/>
        <w:jc w:val="both"/>
        <w:rPr>
          <w:rFonts w:cstheme="minorHAnsi"/>
          <w:color w:val="1F4E79" w:themeColor="accent1" w:themeShade="80"/>
        </w:rPr>
      </w:pPr>
      <w:r w:rsidRPr="00DA0D47">
        <w:rPr>
          <w:rFonts w:cstheme="minorHAnsi"/>
          <w:color w:val="1F4E79" w:themeColor="accent1" w:themeShade="80"/>
        </w:rPr>
        <w:t>Presun do B: Max. 25%= 4 000 EUR</w:t>
      </w:r>
    </w:p>
    <w:p w14:paraId="38F7D756" w14:textId="31F9CAC9" w:rsidR="00690CDC" w:rsidRDefault="003E5B0D" w:rsidP="00690CDC">
      <w:pPr>
        <w:spacing w:before="120" w:after="120"/>
        <w:jc w:val="both"/>
        <w:rPr>
          <w:color w:val="1F4E79"/>
        </w:rPr>
      </w:pPr>
      <w:r w:rsidRPr="00DA0D47">
        <w:rPr>
          <w:rFonts w:cstheme="minorHAnsi"/>
          <w:b/>
          <w:color w:val="1F4E79" w:themeColor="accent1" w:themeShade="80"/>
        </w:rPr>
        <w:t xml:space="preserve">Akýkoľvek presun bez </w:t>
      </w:r>
      <w:r>
        <w:rPr>
          <w:rFonts w:cstheme="minorHAnsi"/>
          <w:b/>
          <w:color w:val="1F4E79" w:themeColor="accent1" w:themeShade="80"/>
        </w:rPr>
        <w:t>schválenia zmeny zo strany SAMRS</w:t>
      </w:r>
      <w:r w:rsidRPr="00DA0D47">
        <w:rPr>
          <w:rFonts w:cstheme="minorHAnsi"/>
          <w:b/>
          <w:color w:val="1F4E79" w:themeColor="accent1" w:themeShade="80"/>
        </w:rPr>
        <w:t xml:space="preserve"> možno vykonať len do výšky maximálne 25% </w:t>
      </w:r>
      <w:r>
        <w:rPr>
          <w:rFonts w:cstheme="minorHAnsi"/>
          <w:b/>
          <w:color w:val="1F4E79" w:themeColor="accent1" w:themeShade="80"/>
        </w:rPr>
        <w:t xml:space="preserve">(humanitárne projekty) resp. 10% (rozvojové projekty) </w:t>
      </w:r>
      <w:r w:rsidRPr="00DA0D47">
        <w:rPr>
          <w:rFonts w:cstheme="minorHAnsi"/>
          <w:b/>
          <w:color w:val="1F4E79" w:themeColor="accent1" w:themeShade="80"/>
        </w:rPr>
        <w:t>zo sumy pridelenej v rozpočtovej položke, ako je uvedené v prílohe  č. 2 Rozpočet  projektu zmluvy o poskytnutí dotácie.  </w:t>
      </w:r>
      <w:r w:rsidR="00690CDC">
        <w:rPr>
          <w:color w:val="1F4E79"/>
        </w:rPr>
        <w:t xml:space="preserve"> </w:t>
      </w:r>
    </w:p>
    <w:p w14:paraId="462F3DBC" w14:textId="326E450C" w:rsidR="003E5B0D" w:rsidRPr="00DA0D47" w:rsidRDefault="00690CDC" w:rsidP="00690CDC">
      <w:pPr>
        <w:spacing w:before="120" w:after="120"/>
        <w:jc w:val="both"/>
        <w:rPr>
          <w:rFonts w:cstheme="minorHAnsi"/>
          <w:b/>
          <w:color w:val="1F4E79" w:themeColor="accent1" w:themeShade="80"/>
        </w:rPr>
      </w:pPr>
      <w:r w:rsidRPr="00690CDC">
        <w:rPr>
          <w:color w:val="1F4E79" w:themeColor="accent1" w:themeShade="80"/>
        </w:rPr>
        <w:t>Prijímateľom plánované zmeny pri presunoch do 10% v rámci skupiny nákladov v rozpočte rozvojových projektoch je prijímateľ povinný vopred elektronicky odkonzultovať s príslušným projektovým a finančným manažérom SAMRS, aby sa zabezpečil súlad s finančnou príručkou platnou pre daný rok výzvy</w:t>
      </w:r>
      <w:r>
        <w:rPr>
          <w:color w:val="1F4E79" w:themeColor="accent1" w:themeShade="80"/>
        </w:rPr>
        <w:t>.</w:t>
      </w:r>
      <w:r w:rsidRPr="00690CDC">
        <w:rPr>
          <w:b/>
          <w:bCs/>
          <w:color w:val="1F4E79" w:themeColor="accent1" w:themeShade="80"/>
        </w:rPr>
        <w:t xml:space="preserve"> </w:t>
      </w:r>
    </w:p>
    <w:p w14:paraId="4DD6AE41" w14:textId="77777777" w:rsidR="00DA0D47" w:rsidRPr="00DA0D47" w:rsidRDefault="00DA0D47" w:rsidP="00DA0D47">
      <w:pPr>
        <w:pStyle w:val="Odsekzoznamu"/>
        <w:numPr>
          <w:ilvl w:val="0"/>
          <w:numId w:val="1"/>
        </w:numPr>
        <w:spacing w:after="0"/>
        <w:jc w:val="both"/>
        <w:rPr>
          <w:rFonts w:ascii="Calibri" w:hAnsi="Calibri" w:cs="Calibri"/>
          <w:b/>
          <w:bCs/>
        </w:rPr>
      </w:pPr>
      <w:r>
        <w:rPr>
          <w:rFonts w:ascii="Calibri" w:hAnsi="Calibri" w:cs="Calibri"/>
          <w:b/>
          <w:bCs/>
        </w:rPr>
        <w:t xml:space="preserve">Sú stravné lístky oprávneným výdavkom projektu ? </w:t>
      </w:r>
    </w:p>
    <w:p w14:paraId="3FE7C7AF" w14:textId="77777777" w:rsidR="00DA0D47" w:rsidRDefault="00DA0D47" w:rsidP="00DA0D47">
      <w:pPr>
        <w:spacing w:before="120" w:after="120" w:line="240" w:lineRule="auto"/>
        <w:jc w:val="both"/>
        <w:rPr>
          <w:rFonts w:cstheme="minorHAnsi"/>
          <w:color w:val="1F4E79" w:themeColor="accent1" w:themeShade="80"/>
        </w:rPr>
      </w:pPr>
      <w:r w:rsidRPr="00DA0D47">
        <w:rPr>
          <w:rFonts w:cstheme="minorHAnsi"/>
          <w:color w:val="1F4E79" w:themeColor="accent1" w:themeShade="80"/>
        </w:rPr>
        <w:t xml:space="preserve">Náklady na stravovanie zamestnancov  zapojených do projektu sú oprávneným výdavkom projektu. Prijímateľ je povinný sa riadiť platnými ustanoveniami Zákonníka práce a  zákona č. 283/2002 </w:t>
      </w:r>
      <w:proofErr w:type="spellStart"/>
      <w:r w:rsidRPr="00DA0D47">
        <w:rPr>
          <w:rFonts w:cstheme="minorHAnsi"/>
          <w:color w:val="1F4E79" w:themeColor="accent1" w:themeShade="80"/>
        </w:rPr>
        <w:t>Z.z</w:t>
      </w:r>
      <w:proofErr w:type="spellEnd"/>
      <w:r w:rsidRPr="00DA0D47">
        <w:rPr>
          <w:rFonts w:cstheme="minorHAnsi"/>
          <w:color w:val="1F4E79" w:themeColor="accent1" w:themeShade="80"/>
        </w:rPr>
        <w:t>. o cestovných náhradách. V zmysle § 152 Zákonníka práce má na stravné nárok každý zamestnanec vykonávajúci prácu viac ako 4 hod. denne. Pre uznanie stravného ako oprávneného výdavku je prijímateľ povinný v rámci vyúčtovania predložiť kópie výplatných pások zamestnancov projektu, podpísanú kópiu výkazu práce a kópiu  uzatvoreného pracovno-právneho vzťahu medzi prijímateľom dotácie a zamestnancom vykonávajúcim projektové aktivity.  </w:t>
      </w:r>
    </w:p>
    <w:p w14:paraId="39E456C5" w14:textId="77777777" w:rsidR="00DA0D47" w:rsidRPr="00DA0D47" w:rsidRDefault="00DA0D47" w:rsidP="00DA0D47">
      <w:pPr>
        <w:spacing w:before="120" w:after="0" w:line="240" w:lineRule="auto"/>
        <w:jc w:val="both"/>
        <w:rPr>
          <w:rFonts w:cstheme="minorHAnsi"/>
          <w:color w:val="1F4E79" w:themeColor="accent1" w:themeShade="80"/>
        </w:rPr>
      </w:pPr>
    </w:p>
    <w:p w14:paraId="07E1A760" w14:textId="77777777" w:rsidR="00DA0D47" w:rsidRPr="00DA0D47" w:rsidRDefault="00DA0D47" w:rsidP="00DA0D47">
      <w:pPr>
        <w:pStyle w:val="Odsekzoznamu"/>
        <w:numPr>
          <w:ilvl w:val="0"/>
          <w:numId w:val="1"/>
        </w:numPr>
        <w:spacing w:after="0"/>
        <w:jc w:val="both"/>
        <w:rPr>
          <w:rFonts w:ascii="Calibri" w:hAnsi="Calibri" w:cs="Calibri"/>
          <w:b/>
          <w:bCs/>
        </w:rPr>
      </w:pPr>
      <w:r>
        <w:rPr>
          <w:rFonts w:ascii="Calibri" w:hAnsi="Calibri" w:cs="Calibri"/>
          <w:b/>
          <w:bCs/>
        </w:rPr>
        <w:lastRenderedPageBreak/>
        <w:t xml:space="preserve">Je potrebný podpis štatutára na  žiadosti o zmenu v rozpočte? </w:t>
      </w:r>
    </w:p>
    <w:p w14:paraId="76DEBF40" w14:textId="0BA01655" w:rsidR="00DA0D47" w:rsidRPr="00DA0D47" w:rsidRDefault="003E5B0D" w:rsidP="00DA0D47">
      <w:pPr>
        <w:spacing w:before="120" w:after="120" w:line="240" w:lineRule="auto"/>
        <w:jc w:val="both"/>
        <w:rPr>
          <w:rFonts w:cstheme="minorHAnsi"/>
          <w:color w:val="1F4E79" w:themeColor="accent1" w:themeShade="80"/>
        </w:rPr>
      </w:pPr>
      <w:r w:rsidRPr="00DA0D47">
        <w:rPr>
          <w:rFonts w:cstheme="minorHAnsi"/>
          <w:color w:val="1F4E79" w:themeColor="accent1" w:themeShade="80"/>
        </w:rPr>
        <w:t>Podpis štatutára na žiadosti o</w:t>
      </w:r>
      <w:r>
        <w:rPr>
          <w:rFonts w:cstheme="minorHAnsi"/>
          <w:color w:val="1F4E79" w:themeColor="accent1" w:themeShade="80"/>
        </w:rPr>
        <w:t> </w:t>
      </w:r>
      <w:r w:rsidRPr="00DA0D47">
        <w:rPr>
          <w:rFonts w:cstheme="minorHAnsi"/>
          <w:color w:val="1F4E79" w:themeColor="accent1" w:themeShade="80"/>
        </w:rPr>
        <w:t>zmen</w:t>
      </w:r>
      <w:r>
        <w:rPr>
          <w:rFonts w:cstheme="minorHAnsi"/>
          <w:color w:val="1F4E79" w:themeColor="accent1" w:themeShade="80"/>
        </w:rPr>
        <w:t>y v</w:t>
      </w:r>
      <w:r w:rsidRPr="00DA0D47">
        <w:rPr>
          <w:rFonts w:cstheme="minorHAnsi"/>
          <w:color w:val="1F4E79" w:themeColor="accent1" w:themeShade="80"/>
        </w:rPr>
        <w:t xml:space="preserve"> rozpočt</w:t>
      </w:r>
      <w:r>
        <w:rPr>
          <w:rFonts w:cstheme="minorHAnsi"/>
          <w:color w:val="1F4E79" w:themeColor="accent1" w:themeShade="80"/>
        </w:rPr>
        <w:t>e</w:t>
      </w:r>
      <w:r w:rsidRPr="00DA0D47">
        <w:rPr>
          <w:rFonts w:cstheme="minorHAnsi"/>
          <w:color w:val="1F4E79" w:themeColor="accent1" w:themeShade="80"/>
        </w:rPr>
        <w:t xml:space="preserve"> </w:t>
      </w:r>
      <w:r>
        <w:rPr>
          <w:rFonts w:cstheme="minorHAnsi"/>
          <w:color w:val="1F4E79" w:themeColor="accent1" w:themeShade="80"/>
        </w:rPr>
        <w:t>je povinný</w:t>
      </w:r>
      <w:r w:rsidRPr="00DA0D47">
        <w:rPr>
          <w:rFonts w:cstheme="minorHAnsi"/>
          <w:color w:val="1F4E79" w:themeColor="accent1" w:themeShade="80"/>
        </w:rPr>
        <w:t xml:space="preserve">.  </w:t>
      </w:r>
      <w:r w:rsidR="00DA0D47" w:rsidRPr="00DA0D47">
        <w:rPr>
          <w:rFonts w:cstheme="minorHAnsi"/>
          <w:color w:val="1F4E79" w:themeColor="accent1" w:themeShade="80"/>
        </w:rPr>
        <w:t>Štatutár musí byť informovaný  o  zmenách v rozpočte  a svojim podpisom  vyjadruje súhlas a zodpovednosť za</w:t>
      </w:r>
      <w:r>
        <w:rPr>
          <w:rFonts w:cstheme="minorHAnsi"/>
          <w:color w:val="1F4E79" w:themeColor="accent1" w:themeShade="80"/>
        </w:rPr>
        <w:t xml:space="preserve"> navrhovanú</w:t>
      </w:r>
      <w:r w:rsidR="00DA0D47" w:rsidRPr="00DA0D47">
        <w:rPr>
          <w:rFonts w:cstheme="minorHAnsi"/>
          <w:color w:val="1F4E79" w:themeColor="accent1" w:themeShade="80"/>
        </w:rPr>
        <w:t xml:space="preserve"> rozpočtovú zmenu v projekte. Štatutár prijímateľa  dotácie  je oprávnený  splnomocniť projektového/finančného manažéra projektu</w:t>
      </w:r>
      <w:r>
        <w:rPr>
          <w:rFonts w:cstheme="minorHAnsi"/>
          <w:color w:val="1F4E79" w:themeColor="accent1" w:themeShade="80"/>
        </w:rPr>
        <w:t>.</w:t>
      </w:r>
      <w:r w:rsidR="00DA0D47" w:rsidRPr="00DA0D47">
        <w:rPr>
          <w:rFonts w:cstheme="minorHAnsi"/>
          <w:color w:val="1F4E79" w:themeColor="accent1" w:themeShade="80"/>
        </w:rPr>
        <w:t xml:space="preserve">  Originál splnomocneni</w:t>
      </w:r>
      <w:r>
        <w:rPr>
          <w:rFonts w:cstheme="minorHAnsi"/>
          <w:color w:val="1F4E79" w:themeColor="accent1" w:themeShade="80"/>
        </w:rPr>
        <w:t>a</w:t>
      </w:r>
      <w:r w:rsidR="00DA0D47" w:rsidRPr="00DA0D47">
        <w:rPr>
          <w:rFonts w:cstheme="minorHAnsi"/>
          <w:color w:val="1F4E79" w:themeColor="accent1" w:themeShade="80"/>
        </w:rPr>
        <w:t xml:space="preserve"> bez overenia notárom je potrebné predložiť  SAMRS </w:t>
      </w:r>
      <w:r>
        <w:rPr>
          <w:rFonts w:cstheme="minorHAnsi"/>
          <w:color w:val="1F4E79" w:themeColor="accent1" w:themeShade="80"/>
        </w:rPr>
        <w:t>spolu so žiadosťou o rozpočtové zmeny</w:t>
      </w:r>
      <w:r w:rsidRPr="00DA0D47">
        <w:rPr>
          <w:rFonts w:cstheme="minorHAnsi"/>
          <w:color w:val="1F4E79" w:themeColor="accent1" w:themeShade="80"/>
        </w:rPr>
        <w:t>.</w:t>
      </w:r>
    </w:p>
    <w:p w14:paraId="5A5BEEFD" w14:textId="77777777" w:rsidR="00DA0D47" w:rsidRPr="00DA0D47" w:rsidRDefault="00DA0D47" w:rsidP="00DA0D47">
      <w:pPr>
        <w:spacing w:before="120" w:after="0" w:line="240" w:lineRule="auto"/>
        <w:jc w:val="both"/>
        <w:rPr>
          <w:rFonts w:cstheme="minorHAnsi"/>
          <w:color w:val="1F4E79" w:themeColor="accent1" w:themeShade="80"/>
        </w:rPr>
      </w:pPr>
    </w:p>
    <w:p w14:paraId="13EC39C1" w14:textId="77777777" w:rsidR="00DA0D47" w:rsidRPr="00DA0D47" w:rsidRDefault="00DA0D47" w:rsidP="00DA0D47">
      <w:pPr>
        <w:pStyle w:val="Odsekzoznamu"/>
        <w:numPr>
          <w:ilvl w:val="0"/>
          <w:numId w:val="1"/>
        </w:numPr>
        <w:spacing w:after="0"/>
        <w:jc w:val="both"/>
        <w:rPr>
          <w:rFonts w:ascii="Calibri" w:hAnsi="Calibri" w:cs="Calibri"/>
          <w:b/>
          <w:bCs/>
        </w:rPr>
      </w:pPr>
      <w:r>
        <w:rPr>
          <w:rFonts w:ascii="Calibri" w:hAnsi="Calibri" w:cs="Calibri"/>
          <w:b/>
          <w:bCs/>
        </w:rPr>
        <w:t>Je poistenie konečných prijímateľov pomoci v rámci realizácie projektových aktivít považované za oprávnený výdavok.</w:t>
      </w:r>
    </w:p>
    <w:p w14:paraId="3730A4A0" w14:textId="680C36A2" w:rsidR="004B53FB" w:rsidRDefault="00DA0D47" w:rsidP="00DA0D47">
      <w:pPr>
        <w:spacing w:before="120" w:after="120" w:line="240" w:lineRule="auto"/>
        <w:jc w:val="both"/>
        <w:rPr>
          <w:rFonts w:cstheme="minorHAnsi"/>
          <w:color w:val="1F4E79" w:themeColor="accent1" w:themeShade="80"/>
        </w:rPr>
      </w:pPr>
      <w:r w:rsidRPr="00DA0D47">
        <w:rPr>
          <w:rFonts w:cstheme="minorHAnsi"/>
          <w:color w:val="1F4E79" w:themeColor="accent1" w:themeShade="80"/>
        </w:rPr>
        <w:t>Poistenie konečných prijímateľov pomoci v rámci realizácie projektových aktivít bude</w:t>
      </w:r>
      <w:r w:rsidR="00690CDC">
        <w:rPr>
          <w:rFonts w:cstheme="minorHAnsi"/>
          <w:color w:val="1F4E79" w:themeColor="accent1" w:themeShade="80"/>
        </w:rPr>
        <w:t xml:space="preserve"> </w:t>
      </w:r>
      <w:r w:rsidRPr="00DA0D47">
        <w:rPr>
          <w:rFonts w:cstheme="minorHAnsi"/>
          <w:color w:val="1F4E79" w:themeColor="accent1" w:themeShade="80"/>
        </w:rPr>
        <w:t>uznané SAMRS  za oprávnený výdavok projektu.  </w:t>
      </w:r>
    </w:p>
    <w:p w14:paraId="60285C59" w14:textId="77777777" w:rsidR="004B53FB" w:rsidRPr="004B53FB" w:rsidRDefault="004B53FB" w:rsidP="004B53FB">
      <w:pPr>
        <w:pStyle w:val="Odsekzoznamu"/>
        <w:numPr>
          <w:ilvl w:val="0"/>
          <w:numId w:val="1"/>
        </w:numPr>
        <w:spacing w:after="0"/>
        <w:jc w:val="both"/>
        <w:rPr>
          <w:rFonts w:ascii="Calibri" w:hAnsi="Calibri" w:cs="Calibri"/>
          <w:b/>
          <w:bCs/>
        </w:rPr>
      </w:pPr>
      <w:r w:rsidRPr="004B53FB">
        <w:rPr>
          <w:rFonts w:ascii="Calibri" w:hAnsi="Calibri" w:cs="Calibri"/>
          <w:b/>
          <w:bCs/>
        </w:rPr>
        <w:t>Je povinné spolufinancovanie aj pri výzve „Podpora projektov slovenských organizácií schválených v rámci rozvojových nástrojov Európskej Komisie prostredníctvom poskytnutia spolufinancovania“?</w:t>
      </w:r>
    </w:p>
    <w:p w14:paraId="49F66BC1" w14:textId="10BC776E" w:rsidR="004B53FB" w:rsidRDefault="004B53FB" w:rsidP="00535FE6">
      <w:pPr>
        <w:spacing w:before="120" w:after="120" w:line="240" w:lineRule="auto"/>
        <w:jc w:val="both"/>
      </w:pPr>
      <w:r w:rsidRPr="004B53FB">
        <w:rPr>
          <w:rFonts w:cstheme="minorHAnsi"/>
          <w:color w:val="1F4E79" w:themeColor="accent1" w:themeShade="80"/>
        </w:rPr>
        <w:t xml:space="preserve">Áno, v zmysle §7 ods. 5 zákona 392/2015 </w:t>
      </w:r>
      <w:proofErr w:type="spellStart"/>
      <w:r w:rsidRPr="004B53FB">
        <w:rPr>
          <w:rFonts w:cstheme="minorHAnsi"/>
          <w:color w:val="1F4E79" w:themeColor="accent1" w:themeShade="80"/>
        </w:rPr>
        <w:t>Z.z</w:t>
      </w:r>
      <w:proofErr w:type="spellEnd"/>
      <w:r w:rsidRPr="004B53FB">
        <w:rPr>
          <w:rFonts w:cstheme="minorHAnsi"/>
          <w:color w:val="1F4E79" w:themeColor="accent1" w:themeShade="80"/>
        </w:rPr>
        <w:t>. o rozvojovej spolupráci a o zmene a doplnení niektorých zákonov v znení zákona č. 281/2019 Z .z., je podmienkou schválenia žiadosti o poskytnutie dotácie preukázanie spolufinancovania projektu najmenej vo výške 10% hodnoty žiadanej dotácie ODA</w:t>
      </w:r>
      <w:r w:rsidR="0049076E">
        <w:rPr>
          <w:rFonts w:cstheme="minorHAnsi"/>
          <w:color w:val="1F4E79" w:themeColor="accent1" w:themeShade="80"/>
        </w:rPr>
        <w:t xml:space="preserve">. </w:t>
      </w:r>
    </w:p>
    <w:p w14:paraId="0D90AC00" w14:textId="77777777" w:rsidR="004B53FB" w:rsidRPr="004B53FB" w:rsidRDefault="004B53FB" w:rsidP="004B53FB">
      <w:pPr>
        <w:pStyle w:val="Odsekzoznamu"/>
        <w:numPr>
          <w:ilvl w:val="0"/>
          <w:numId w:val="1"/>
        </w:numPr>
        <w:spacing w:after="0"/>
        <w:jc w:val="both"/>
        <w:rPr>
          <w:rFonts w:ascii="Calibri" w:hAnsi="Calibri" w:cs="Calibri"/>
          <w:b/>
          <w:bCs/>
        </w:rPr>
      </w:pPr>
      <w:r w:rsidRPr="004B53FB">
        <w:rPr>
          <w:rFonts w:ascii="Calibri" w:hAnsi="Calibri" w:cs="Calibri"/>
          <w:b/>
          <w:bCs/>
        </w:rPr>
        <w:t xml:space="preserve">Je spolufinancovanie pri výzve „Podpora projektov slovenských organizácií schválených v rámci rozvojových nástrojov Európskej Komisie prostredníctvom poskytnutia spolufinancovania“ možné preukázať aj z prostriedkov, ktoré boli žiadateľovi schválené zo samotného EÚ projektu? </w:t>
      </w:r>
    </w:p>
    <w:p w14:paraId="1A15162D" w14:textId="198EA971" w:rsidR="004B53FB" w:rsidRPr="00DA0D47" w:rsidRDefault="004B53FB" w:rsidP="00DA0D47">
      <w:pPr>
        <w:spacing w:before="120" w:after="120" w:line="240" w:lineRule="auto"/>
        <w:jc w:val="both"/>
        <w:rPr>
          <w:rFonts w:cstheme="minorHAnsi"/>
          <w:color w:val="1F4E79" w:themeColor="accent1" w:themeShade="80"/>
        </w:rPr>
      </w:pPr>
      <w:r w:rsidRPr="004B53FB">
        <w:rPr>
          <w:rFonts w:cstheme="minorHAnsi"/>
          <w:color w:val="1F4E79" w:themeColor="accent1" w:themeShade="80"/>
        </w:rPr>
        <w:t>Podľa Finančnej príručky 202</w:t>
      </w:r>
      <w:r w:rsidR="0049076E">
        <w:rPr>
          <w:rFonts w:cstheme="minorHAnsi"/>
          <w:color w:val="1F4E79" w:themeColor="accent1" w:themeShade="80"/>
        </w:rPr>
        <w:t>2</w:t>
      </w:r>
      <w:r w:rsidRPr="004B53FB">
        <w:rPr>
          <w:rFonts w:cstheme="minorHAnsi"/>
          <w:color w:val="1F4E79" w:themeColor="accent1" w:themeShade="80"/>
        </w:rPr>
        <w:t xml:space="preserve"> je žiadateľ povinný preukázať aj použitie „</w:t>
      </w:r>
      <w:r w:rsidRPr="004B53FB">
        <w:rPr>
          <w:rFonts w:cstheme="minorHAnsi"/>
          <w:i/>
          <w:color w:val="1F4E79" w:themeColor="accent1" w:themeShade="80"/>
        </w:rPr>
        <w:t>vlastných zdrojov na spolufinancovanie oprávnených výdavkov projektu</w:t>
      </w:r>
      <w:r w:rsidRPr="004B53FB">
        <w:rPr>
          <w:rFonts w:cstheme="minorHAnsi"/>
          <w:color w:val="1F4E79" w:themeColor="accent1" w:themeShade="80"/>
        </w:rPr>
        <w:t xml:space="preserve">“. Zdroje z nenávratnej dotácie EÚ projektu sa teda účtovne môžu považovať za vlastné zdroje financovania účtovnej jednotky. Žiadateľ v tomto prípade projekt nefinancuje len z prostriedkov štátneho rozpočtu SR poskytnutých SAMRS, ale spolufinancuje aj z iných vlastných zdrojov (v tomto prípade teda časť financuje z prostriedkov získaných v rámci EÚ projektu) a je splnená podmienka povinného spolufinancovania podľa zákona 392/2015 </w:t>
      </w:r>
      <w:proofErr w:type="spellStart"/>
      <w:r w:rsidRPr="004B53FB">
        <w:rPr>
          <w:rFonts w:cstheme="minorHAnsi"/>
          <w:color w:val="1F4E79" w:themeColor="accent1" w:themeShade="80"/>
        </w:rPr>
        <w:t>Z.z</w:t>
      </w:r>
      <w:proofErr w:type="spellEnd"/>
      <w:r w:rsidRPr="004B53FB">
        <w:rPr>
          <w:rFonts w:cstheme="minorHAnsi"/>
          <w:color w:val="1F4E79" w:themeColor="accent1" w:themeShade="80"/>
        </w:rPr>
        <w:t xml:space="preserve">. o rozvojovej spolupráci. Toto spolufinancovanie avšak musí byť súčasťou záverečného vyúčtovania pre SAMRS. </w:t>
      </w:r>
    </w:p>
    <w:p w14:paraId="3600876E" w14:textId="77777777" w:rsidR="00641C92" w:rsidRPr="00F8671D" w:rsidRDefault="00641C92" w:rsidP="00641C92">
      <w:pPr>
        <w:pStyle w:val="Odsekzoznamu"/>
        <w:numPr>
          <w:ilvl w:val="0"/>
          <w:numId w:val="1"/>
        </w:numPr>
        <w:spacing w:after="0" w:line="240" w:lineRule="auto"/>
        <w:rPr>
          <w:rFonts w:ascii="Calibri" w:hAnsi="Calibri" w:cs="Calibri"/>
          <w:b/>
        </w:rPr>
      </w:pPr>
      <w:r w:rsidRPr="00F8671D">
        <w:rPr>
          <w:rFonts w:ascii="Calibri" w:hAnsi="Calibri" w:cs="Calibri"/>
          <w:b/>
        </w:rPr>
        <w:t xml:space="preserve">Ktorými pravidlami sa má riadiť projekt, ktorý je financovaný z časti zo SAMRS a z časti zo zdrojov EU? </w:t>
      </w:r>
    </w:p>
    <w:p w14:paraId="4D585197" w14:textId="699AA786" w:rsidR="00641C92" w:rsidRPr="00F8671D" w:rsidRDefault="00641C92" w:rsidP="00641C92">
      <w:pPr>
        <w:spacing w:after="0" w:line="240" w:lineRule="auto"/>
        <w:jc w:val="both"/>
        <w:rPr>
          <w:rFonts w:ascii="Calibri" w:hAnsi="Calibri" w:cs="Calibri"/>
          <w:b/>
        </w:rPr>
      </w:pPr>
      <w:r w:rsidRPr="00F8671D">
        <w:rPr>
          <w:rFonts w:ascii="Calibri" w:hAnsi="Calibri" w:cs="Calibri"/>
          <w:color w:val="1F4E79" w:themeColor="accent1" w:themeShade="80"/>
        </w:rPr>
        <w:t>Prijímateľ  dotácie výzvy „</w:t>
      </w:r>
      <w:r w:rsidRPr="00F8671D">
        <w:rPr>
          <w:rFonts w:ascii="Calibri" w:hAnsi="Calibri" w:cs="Calibri"/>
          <w:bCs/>
          <w:color w:val="1F4E79" w:themeColor="accent1" w:themeShade="80"/>
        </w:rPr>
        <w:t>Podpora projektov slovenských organizácií schválených v rámci rozvojových nástrojov Európskej Komisie prostredníctvom poskytnutia spolufinancovania“ je povinný pri financovaní projektových nákladov z</w:t>
      </w:r>
      <w:r w:rsidR="00024DE0" w:rsidRPr="00F8671D">
        <w:rPr>
          <w:rFonts w:ascii="Calibri" w:hAnsi="Calibri" w:cs="Calibri"/>
          <w:bCs/>
          <w:color w:val="1F4E79" w:themeColor="accent1" w:themeShade="80"/>
        </w:rPr>
        <w:t xml:space="preserve"> poskytnutej </w:t>
      </w:r>
      <w:r w:rsidRPr="00F8671D">
        <w:rPr>
          <w:rFonts w:ascii="Calibri" w:hAnsi="Calibri" w:cs="Calibri"/>
          <w:bCs/>
          <w:color w:val="1F4E79" w:themeColor="accent1" w:themeShade="80"/>
        </w:rPr>
        <w:t>dotácie</w:t>
      </w:r>
      <w:r w:rsidR="00024DE0" w:rsidRPr="00F8671D">
        <w:rPr>
          <w:rFonts w:ascii="Calibri" w:hAnsi="Calibri" w:cs="Calibri"/>
          <w:bCs/>
          <w:color w:val="1F4E79" w:themeColor="accent1" w:themeShade="80"/>
        </w:rPr>
        <w:t xml:space="preserve"> v zmysle</w:t>
      </w:r>
      <w:r w:rsidRPr="00F8671D">
        <w:rPr>
          <w:rFonts w:ascii="Calibri" w:hAnsi="Calibri" w:cs="Calibri"/>
          <w:bCs/>
          <w:color w:val="1F4E79" w:themeColor="accent1" w:themeShade="80"/>
        </w:rPr>
        <w:t xml:space="preserve"> zmluvy, ktorú má uzatvorenú so SAMRS, uplatňovať pravidlá Finančnej príručky</w:t>
      </w:r>
      <w:r w:rsidR="00535FE6">
        <w:rPr>
          <w:rFonts w:ascii="Calibri" w:hAnsi="Calibri" w:cs="Calibri"/>
          <w:bCs/>
          <w:color w:val="1F4E79" w:themeColor="accent1" w:themeShade="80"/>
        </w:rPr>
        <w:t xml:space="preserve"> </w:t>
      </w:r>
      <w:r w:rsidRPr="00F8671D">
        <w:rPr>
          <w:rFonts w:ascii="Calibri" w:hAnsi="Calibri" w:cs="Calibri"/>
          <w:bCs/>
          <w:color w:val="1F4E79" w:themeColor="accent1" w:themeShade="80"/>
        </w:rPr>
        <w:t xml:space="preserve">SAMRS, ktorá je neoddeliteľnou súčasťou zmluvy.          </w:t>
      </w:r>
    </w:p>
    <w:p w14:paraId="503EE466" w14:textId="77777777" w:rsidR="00641C92" w:rsidRPr="00535FE6" w:rsidRDefault="00641C92" w:rsidP="00641C92">
      <w:pPr>
        <w:spacing w:after="0" w:line="240" w:lineRule="auto"/>
        <w:jc w:val="both"/>
        <w:rPr>
          <w:rFonts w:ascii="Calibri" w:hAnsi="Calibri" w:cs="Calibri"/>
        </w:rPr>
      </w:pPr>
    </w:p>
    <w:p w14:paraId="04F5C1DF" w14:textId="77777777" w:rsidR="003E5B0D" w:rsidRPr="00535FE6" w:rsidRDefault="003E5B0D" w:rsidP="003E5B0D">
      <w:pPr>
        <w:pStyle w:val="Odsekzoznamu"/>
        <w:numPr>
          <w:ilvl w:val="0"/>
          <w:numId w:val="1"/>
        </w:numPr>
        <w:spacing w:after="0" w:line="240" w:lineRule="auto"/>
        <w:contextualSpacing w:val="0"/>
        <w:rPr>
          <w:b/>
        </w:rPr>
      </w:pPr>
      <w:r w:rsidRPr="00535FE6">
        <w:rPr>
          <w:b/>
        </w:rPr>
        <w:t>Kedy je možné uskutočniť nákup leteniek v rámci počiatočných (inicializačných) nákladov?</w:t>
      </w:r>
    </w:p>
    <w:p w14:paraId="177260A5" w14:textId="2461B418" w:rsidR="00535FE6" w:rsidRDefault="003E5B0D" w:rsidP="003E5B0D">
      <w:pPr>
        <w:spacing w:before="120" w:after="120" w:line="240" w:lineRule="auto"/>
        <w:jc w:val="both"/>
        <w:rPr>
          <w:rFonts w:cstheme="minorHAnsi"/>
          <w:color w:val="1F4E79" w:themeColor="accent1" w:themeShade="80"/>
        </w:rPr>
      </w:pPr>
      <w:r w:rsidRPr="00535FE6">
        <w:rPr>
          <w:color w:val="1F4E79" w:themeColor="accent1" w:themeShade="80"/>
        </w:rPr>
        <w:t xml:space="preserve">Počiatočné náklady sú akékoľvek náklady, ktoré nevyhnutne vzniknú prijímateľovi po schválení dotácie, ale pred podpisom zmluvy, </w:t>
      </w:r>
      <w:proofErr w:type="spellStart"/>
      <w:r w:rsidRPr="00535FE6">
        <w:rPr>
          <w:color w:val="1F4E79" w:themeColor="accent1" w:themeShade="80"/>
        </w:rPr>
        <w:t>t.j</w:t>
      </w:r>
      <w:proofErr w:type="spellEnd"/>
      <w:r w:rsidRPr="00535FE6">
        <w:rPr>
          <w:color w:val="1F4E79" w:themeColor="accent1" w:themeShade="80"/>
        </w:rPr>
        <w:t xml:space="preserve">. od dátumu ministrom schváleného záznamu o poskytnutí dotácie. Rozhodujúci je deň zverejnenia informácie o udelení dotácie na webovom sídle SAMRS. Výška počiatočných (inicializačných) nákladov nesmie presiahnuť 2 % z celkového schváleného rozpočtu. V špecifických prípadoch, ako je napr. nákup  leteniek, odporúčame túto skutočnosť prekonzultovať s vecne príslušným projektovým a finančným manažérom SAMRS. </w:t>
      </w:r>
    </w:p>
    <w:p w14:paraId="3D33BC59" w14:textId="77777777" w:rsidR="00535FE6" w:rsidRDefault="00535FE6" w:rsidP="003E5B0D">
      <w:pPr>
        <w:spacing w:before="120" w:after="120" w:line="240" w:lineRule="auto"/>
        <w:jc w:val="both"/>
        <w:rPr>
          <w:rFonts w:cstheme="minorHAnsi"/>
          <w:color w:val="1F4E79" w:themeColor="accent1" w:themeShade="80"/>
        </w:rPr>
      </w:pPr>
    </w:p>
    <w:p w14:paraId="4B030928" w14:textId="3D8871CC" w:rsidR="00641C92" w:rsidRPr="00535FE6" w:rsidRDefault="003E5B0D" w:rsidP="00535FE6">
      <w:pPr>
        <w:pStyle w:val="Odsekzoznamu"/>
        <w:numPr>
          <w:ilvl w:val="0"/>
          <w:numId w:val="1"/>
        </w:numPr>
        <w:spacing w:after="0"/>
        <w:jc w:val="both"/>
        <w:rPr>
          <w:rFonts w:cstheme="minorHAnsi"/>
          <w:color w:val="1F4E79" w:themeColor="accent1" w:themeShade="80"/>
        </w:rPr>
      </w:pPr>
      <w:r w:rsidRPr="00B41768">
        <w:rPr>
          <w:rFonts w:ascii="Calibri" w:hAnsi="Calibri" w:cs="Calibri"/>
          <w:b/>
          <w:bCs/>
        </w:rPr>
        <w:lastRenderedPageBreak/>
        <w:t>Priorizuje SAMRS v hodnotiacom procese žiados</w:t>
      </w:r>
      <w:r>
        <w:rPr>
          <w:rFonts w:ascii="Calibri" w:hAnsi="Calibri" w:cs="Calibri"/>
          <w:b/>
          <w:bCs/>
        </w:rPr>
        <w:t>tí</w:t>
      </w:r>
      <w:r w:rsidRPr="00B41768">
        <w:rPr>
          <w:rFonts w:ascii="Calibri" w:hAnsi="Calibri" w:cs="Calibri"/>
          <w:b/>
          <w:bCs/>
        </w:rPr>
        <w:t xml:space="preserve"> o poskytnutie dotácie v kontexte investičného a neinvestičného zámeru</w:t>
      </w:r>
      <w:r>
        <w:rPr>
          <w:rFonts w:ascii="Calibri" w:hAnsi="Calibri" w:cs="Calibri"/>
          <w:b/>
          <w:bCs/>
        </w:rPr>
        <w:t>?</w:t>
      </w:r>
      <w:r w:rsidRPr="00B41768">
        <w:rPr>
          <w:rFonts w:ascii="Calibri" w:hAnsi="Calibri" w:cs="Calibri"/>
          <w:b/>
          <w:bCs/>
        </w:rPr>
        <w:t xml:space="preserve"> </w:t>
      </w:r>
      <w:r>
        <w:rPr>
          <w:rFonts w:ascii="Calibri" w:hAnsi="Calibri" w:cs="Calibri"/>
          <w:b/>
          <w:bCs/>
        </w:rPr>
        <w:t>Je i</w:t>
      </w:r>
      <w:r w:rsidRPr="00B41768">
        <w:rPr>
          <w:rFonts w:ascii="Calibri" w:hAnsi="Calibri" w:cs="Calibri"/>
          <w:b/>
          <w:bCs/>
        </w:rPr>
        <w:t xml:space="preserve">mplementácia projektu v dvoch a viacerých krajinách SAMRS </w:t>
      </w:r>
      <w:r>
        <w:rPr>
          <w:rFonts w:ascii="Calibri" w:hAnsi="Calibri" w:cs="Calibri"/>
          <w:b/>
          <w:bCs/>
        </w:rPr>
        <w:t xml:space="preserve">                 </w:t>
      </w:r>
      <w:r w:rsidRPr="00B41768">
        <w:rPr>
          <w:rFonts w:ascii="Calibri" w:hAnsi="Calibri" w:cs="Calibri"/>
          <w:b/>
          <w:bCs/>
        </w:rPr>
        <w:t>preferovaná?</w:t>
      </w:r>
    </w:p>
    <w:p w14:paraId="1527ACEA" w14:textId="77777777" w:rsidR="00641C92" w:rsidRPr="00535FE6" w:rsidRDefault="00641C92" w:rsidP="00641C92">
      <w:pPr>
        <w:spacing w:before="120" w:after="120" w:line="240" w:lineRule="auto"/>
        <w:jc w:val="both"/>
        <w:rPr>
          <w:rFonts w:cstheme="minorHAnsi"/>
          <w:color w:val="1F4E79" w:themeColor="accent1" w:themeShade="80"/>
        </w:rPr>
      </w:pPr>
      <w:r w:rsidRPr="00535FE6">
        <w:rPr>
          <w:rFonts w:cstheme="minorHAnsi"/>
          <w:color w:val="1F4E79" w:themeColor="accent1" w:themeShade="80"/>
        </w:rPr>
        <w:t>SAMRS v rámci hodnotiaceho procesu uplatňuje rovnaký prístup ku všetkým žiadostiam. Všetky žiadosti sú hodnotené  v zmysle OECD</w:t>
      </w:r>
      <w:r w:rsidR="00057780" w:rsidRPr="00535FE6">
        <w:rPr>
          <w:rFonts w:cstheme="minorHAnsi"/>
          <w:color w:val="1F4E79" w:themeColor="accent1" w:themeShade="80"/>
        </w:rPr>
        <w:t xml:space="preserve"> DAC</w:t>
      </w:r>
      <w:r w:rsidRPr="00535FE6">
        <w:rPr>
          <w:rFonts w:cstheme="minorHAnsi"/>
          <w:color w:val="1F4E79" w:themeColor="accent1" w:themeShade="80"/>
        </w:rPr>
        <w:t xml:space="preserve"> hodnotiacich kritérií uvedených vo výzve.  </w:t>
      </w:r>
    </w:p>
    <w:p w14:paraId="2E2141D5" w14:textId="77777777" w:rsidR="00641C92" w:rsidRPr="00F8671D" w:rsidRDefault="00641C92" w:rsidP="00641C92">
      <w:pPr>
        <w:pStyle w:val="Odsekzoznamu"/>
        <w:numPr>
          <w:ilvl w:val="0"/>
          <w:numId w:val="1"/>
        </w:numPr>
        <w:spacing w:after="0" w:line="240" w:lineRule="auto"/>
        <w:rPr>
          <w:b/>
        </w:rPr>
      </w:pPr>
      <w:r w:rsidRPr="00F8671D">
        <w:rPr>
          <w:b/>
        </w:rPr>
        <w:t>V ktorých prípadoch  je potrebné do záverečnej správy uvádzať počet žien a počet mužov?</w:t>
      </w:r>
    </w:p>
    <w:p w14:paraId="5E98BE1E" w14:textId="77777777" w:rsidR="006D4194" w:rsidRDefault="006D4194" w:rsidP="00641C92">
      <w:pPr>
        <w:spacing w:after="0" w:line="240" w:lineRule="auto"/>
        <w:jc w:val="both"/>
        <w:rPr>
          <w:color w:val="1F4E79" w:themeColor="accent1" w:themeShade="80"/>
        </w:rPr>
      </w:pPr>
    </w:p>
    <w:p w14:paraId="64032C43" w14:textId="5A78927D" w:rsidR="00641C92" w:rsidRPr="00F8671D" w:rsidRDefault="00641C92" w:rsidP="00641C92">
      <w:pPr>
        <w:spacing w:after="0" w:line="240" w:lineRule="auto"/>
        <w:jc w:val="both"/>
        <w:rPr>
          <w:rFonts w:ascii="Arial" w:eastAsia="Times New Roman" w:hAnsi="Arial" w:cs="Arial"/>
          <w:i/>
          <w:color w:val="1F4E79" w:themeColor="accent1" w:themeShade="80"/>
          <w:sz w:val="20"/>
          <w:szCs w:val="20"/>
          <w:lang w:eastAsia="cs-CZ"/>
        </w:rPr>
      </w:pPr>
      <w:r w:rsidRPr="00F8671D">
        <w:rPr>
          <w:color w:val="1F4E79" w:themeColor="accent1" w:themeShade="80"/>
        </w:rPr>
        <w:t>V každej záverečnej správe je prijímateľ  povinný uviesť spôsob zohľadneni</w:t>
      </w:r>
      <w:r w:rsidR="00057780" w:rsidRPr="00F8671D">
        <w:rPr>
          <w:color w:val="1F4E79" w:themeColor="accent1" w:themeShade="80"/>
        </w:rPr>
        <w:t>a</w:t>
      </w:r>
      <w:r w:rsidR="006D4194">
        <w:rPr>
          <w:color w:val="1F4E79" w:themeColor="accent1" w:themeShade="80"/>
        </w:rPr>
        <w:t xml:space="preserve"> </w:t>
      </w:r>
      <w:r w:rsidRPr="00F8671D">
        <w:rPr>
          <w:color w:val="1F4E79" w:themeColor="accent1" w:themeShade="80"/>
        </w:rPr>
        <w:t xml:space="preserve">prierezových tém v jednotlivých projektových aktivitách.  Relevancia popisu  projektových aktivít, ktoré boli  zamerané na  </w:t>
      </w:r>
      <w:r w:rsidRPr="00F8671D">
        <w:rPr>
          <w:rFonts w:ascii="Arial" w:hAnsi="Arial"/>
          <w:i/>
          <w:color w:val="1F4E79" w:themeColor="accent1" w:themeShade="80"/>
          <w:sz w:val="20"/>
          <w:szCs w:val="20"/>
        </w:rPr>
        <w:t xml:space="preserve">(SDG č. 13 – ochrana klímy) </w:t>
      </w:r>
      <w:r w:rsidRPr="00F8671D">
        <w:rPr>
          <w:color w:val="1F4E79" w:themeColor="accent1" w:themeShade="80"/>
        </w:rPr>
        <w:t xml:space="preserve">   a   </w:t>
      </w:r>
      <w:r w:rsidRPr="00F8671D">
        <w:rPr>
          <w:rFonts w:ascii="Arial" w:hAnsi="Arial"/>
          <w:i/>
          <w:color w:val="1F4E79" w:themeColor="accent1" w:themeShade="80"/>
          <w:sz w:val="20"/>
          <w:szCs w:val="20"/>
        </w:rPr>
        <w:t xml:space="preserve">(SDG č. 5 – rodová rovnosť) </w:t>
      </w:r>
      <w:r w:rsidRPr="00F8671D">
        <w:rPr>
          <w:rFonts w:ascii="Arial" w:hAnsi="Arial"/>
          <w:color w:val="1F4E79" w:themeColor="accent1" w:themeShade="80"/>
          <w:sz w:val="20"/>
          <w:szCs w:val="20"/>
        </w:rPr>
        <w:t>súvisí s cieľom/cieľmi projektu.</w:t>
      </w:r>
      <w:r w:rsidRPr="00F8671D">
        <w:rPr>
          <w:rFonts w:ascii="Arial" w:eastAsia="Times New Roman" w:hAnsi="Arial" w:cs="Arial"/>
          <w:i/>
          <w:color w:val="1F4E79" w:themeColor="accent1" w:themeShade="80"/>
          <w:sz w:val="20"/>
          <w:szCs w:val="20"/>
          <w:lang w:eastAsia="cs-CZ"/>
        </w:rPr>
        <w:t xml:space="preserve"> </w:t>
      </w:r>
    </w:p>
    <w:p w14:paraId="68C601AB" w14:textId="77777777" w:rsidR="00641C92" w:rsidRPr="00F8671D" w:rsidRDefault="00641C92" w:rsidP="00641C92">
      <w:pPr>
        <w:pStyle w:val="Odsekzoznamu"/>
        <w:spacing w:after="0" w:line="240" w:lineRule="auto"/>
        <w:ind w:left="360"/>
        <w:rPr>
          <w:color w:val="1F4E79" w:themeColor="accent1" w:themeShade="80"/>
        </w:rPr>
      </w:pPr>
    </w:p>
    <w:p w14:paraId="0F3AFC94" w14:textId="77777777" w:rsidR="00641C92" w:rsidRPr="00F8671D" w:rsidRDefault="00641C92" w:rsidP="00641C92">
      <w:pPr>
        <w:pStyle w:val="Odsekzoznamu"/>
        <w:numPr>
          <w:ilvl w:val="0"/>
          <w:numId w:val="1"/>
        </w:numPr>
        <w:spacing w:before="120" w:after="120" w:line="240" w:lineRule="auto"/>
        <w:jc w:val="both"/>
        <w:rPr>
          <w:rFonts w:cstheme="minorHAnsi"/>
          <w:b/>
          <w:color w:val="1F4E79" w:themeColor="accent1" w:themeShade="80"/>
        </w:rPr>
      </w:pPr>
      <w:r w:rsidRPr="00F8671D">
        <w:rPr>
          <w:b/>
        </w:rPr>
        <w:t xml:space="preserve">Ako ovplyvní inflácia výšku dotačných  finančných  prostriedkov určených na personálne náklady? </w:t>
      </w:r>
    </w:p>
    <w:p w14:paraId="64F86C1E" w14:textId="64CD3438" w:rsidR="00641C92" w:rsidRPr="00F8671D" w:rsidRDefault="00641C92" w:rsidP="00641C92">
      <w:pPr>
        <w:spacing w:before="120" w:after="120" w:line="240" w:lineRule="auto"/>
        <w:jc w:val="both"/>
        <w:rPr>
          <w:rFonts w:cstheme="minorHAnsi"/>
          <w:color w:val="1F4E79" w:themeColor="accent1" w:themeShade="80"/>
        </w:rPr>
      </w:pPr>
      <w:r w:rsidRPr="00F8671D">
        <w:rPr>
          <w:rFonts w:cstheme="minorHAnsi"/>
          <w:color w:val="1F4E79" w:themeColor="accent1" w:themeShade="80"/>
        </w:rPr>
        <w:t xml:space="preserve">Prijímatelia dotácie výziev 2022 sú povinní riadiť </w:t>
      </w:r>
      <w:r w:rsidR="00535FE6">
        <w:rPr>
          <w:rFonts w:cstheme="minorHAnsi"/>
          <w:color w:val="1F4E79" w:themeColor="accent1" w:themeShade="80"/>
        </w:rPr>
        <w:t xml:space="preserve">sa </w:t>
      </w:r>
      <w:r w:rsidRPr="00F8671D">
        <w:rPr>
          <w:rFonts w:cstheme="minorHAnsi"/>
          <w:color w:val="1F4E79" w:themeColor="accent1" w:themeShade="80"/>
        </w:rPr>
        <w:t>sadzbami, ktoré sú uvedené vo Finančnej príručke</w:t>
      </w:r>
      <w:r w:rsidR="00535FE6">
        <w:rPr>
          <w:rFonts w:cstheme="minorHAnsi"/>
          <w:color w:val="1F4E79" w:themeColor="accent1" w:themeShade="80"/>
        </w:rPr>
        <w:t xml:space="preserve"> na rok 2022</w:t>
      </w:r>
      <w:r w:rsidRPr="00F8671D">
        <w:rPr>
          <w:rFonts w:cstheme="minorHAnsi"/>
          <w:color w:val="1F4E79" w:themeColor="accent1" w:themeShade="80"/>
        </w:rPr>
        <w:t xml:space="preserve">, ktorá je neoddeliteľnou súčasťou zmluvy. </w:t>
      </w:r>
    </w:p>
    <w:p w14:paraId="46AAE432" w14:textId="6599E2F3" w:rsidR="00641C92" w:rsidRDefault="00641C92" w:rsidP="00641C92">
      <w:pPr>
        <w:spacing w:before="120" w:after="120" w:line="240" w:lineRule="auto"/>
        <w:jc w:val="both"/>
        <w:rPr>
          <w:color w:val="1F4E79" w:themeColor="accent1" w:themeShade="80"/>
        </w:rPr>
      </w:pPr>
      <w:r w:rsidRPr="00F8671D">
        <w:rPr>
          <w:rFonts w:cstheme="minorHAnsi"/>
          <w:color w:val="1F4E79" w:themeColor="accent1" w:themeShade="80"/>
        </w:rPr>
        <w:t xml:space="preserve">V prípade zvýšeného objemu </w:t>
      </w:r>
      <w:r w:rsidRPr="00F8671D">
        <w:rPr>
          <w:color w:val="1F4E79" w:themeColor="accent1" w:themeShade="80"/>
        </w:rPr>
        <w:t>dotačných  finančných  prostriedkov určených na personálne náklady budú prijímatelia  dotáci</w:t>
      </w:r>
      <w:r w:rsidR="00535FE6">
        <w:rPr>
          <w:color w:val="1F4E79" w:themeColor="accent1" w:themeShade="80"/>
        </w:rPr>
        <w:t>í</w:t>
      </w:r>
      <w:r w:rsidRPr="00F8671D">
        <w:rPr>
          <w:color w:val="1F4E79" w:themeColor="accent1" w:themeShade="80"/>
        </w:rPr>
        <w:t xml:space="preserve"> výziev 2023 informovaní a zvýšený objem bude uvedený vo Finančnej príručke platnej pre rok 2023.</w:t>
      </w:r>
    </w:p>
    <w:p w14:paraId="0B9D0F16" w14:textId="77777777" w:rsidR="00535FE6" w:rsidRPr="00535FE6" w:rsidRDefault="00535FE6" w:rsidP="00535FE6">
      <w:pPr>
        <w:pStyle w:val="Odsekzoznamu"/>
        <w:numPr>
          <w:ilvl w:val="0"/>
          <w:numId w:val="1"/>
        </w:numPr>
        <w:spacing w:after="0" w:line="240" w:lineRule="auto"/>
        <w:rPr>
          <w:b/>
        </w:rPr>
      </w:pPr>
      <w:r w:rsidRPr="00535FE6">
        <w:rPr>
          <w:b/>
        </w:rPr>
        <w:t>Je potrebné uviesť režijné/paušálne výdavky oddelene alebo  ich stačí uviesť do jedného riadku? Ako je správne uviesť čísla dokladu pri zahraničných účtovných dokladoch?</w:t>
      </w:r>
    </w:p>
    <w:p w14:paraId="07B8B3CF" w14:textId="04C19B0B" w:rsidR="00641C92" w:rsidRPr="00F8671D" w:rsidRDefault="00535FE6" w:rsidP="00641C92">
      <w:pPr>
        <w:spacing w:before="120" w:after="120" w:line="240" w:lineRule="auto"/>
        <w:jc w:val="both"/>
        <w:rPr>
          <w:b/>
          <w:color w:val="2E74B5" w:themeColor="accent1" w:themeShade="BF"/>
        </w:rPr>
      </w:pPr>
      <w:r w:rsidRPr="00535FE6">
        <w:rPr>
          <w:rFonts w:ascii="Calibri" w:hAnsi="Calibri" w:cs="Calibri"/>
          <w:color w:val="1F4E79" w:themeColor="accent1" w:themeShade="80"/>
        </w:rPr>
        <w:t>Režijné/paušálne výdavky sa vykazujú sumarizačným hárkom (ten slúži ako interný účtovný doklad). Musí obsahovať predovšetkým: a) prehľadnú tabuľku, kde bude uvedený druh nákladu, jeho suma, číslo účtovného dokladu, pod ktorým vedie doklad v účtovníctve, dátum úhrady, číslo dokladu, ktorým výdavok uhradil. b) celkovú sumu režijných výdavkov za dané obdobie, c) prehľadnú tabuľku výpočtu pomerných častí režijných nákladov súvisiacich s projektom (ak napríklad na projekt využíva len časť prenajatých priestorov, alebo len niektoré telefóne linky; pomernú výšku výdavkov na energie, kúrenie, údržbu a pod.). Prijímateľ pri realizácii režijných výdavkov nepredkladá rovnopisy/ kópie daňových dokladov. Pravdivosť údajov v tabuľke potvrdí prijímateľ čestným vyhlásením oprávnenej osoby a podpisom (osoby, ktorá je oprávnená konať v mene prijímateľa) na predkladanej tabuľke. Pri zahraničných účtovných dokladoch sa uvedie číslo dokladu podľa evidencie lokálneho partnera. Všetky doklady vo vyúčtovaní však musia byť označené číslom rozpočtovej podpoložky ku ktorej patria.</w:t>
      </w:r>
    </w:p>
    <w:p w14:paraId="53D6D0FC" w14:textId="77777777" w:rsidR="00641C92" w:rsidRPr="00F8671D" w:rsidRDefault="00641C92" w:rsidP="00641C92">
      <w:pPr>
        <w:pStyle w:val="Odsekzoznamu"/>
        <w:numPr>
          <w:ilvl w:val="0"/>
          <w:numId w:val="1"/>
        </w:numPr>
        <w:spacing w:after="0" w:line="240" w:lineRule="auto"/>
        <w:jc w:val="both"/>
        <w:rPr>
          <w:b/>
        </w:rPr>
      </w:pPr>
      <w:r w:rsidRPr="00F8671D">
        <w:rPr>
          <w:b/>
        </w:rPr>
        <w:t>Je prijímateľ povinný SAMRS</w:t>
      </w:r>
      <w:r w:rsidRPr="00F8671D">
        <w:rPr>
          <w:b/>
          <w:lang w:val="en-US"/>
        </w:rPr>
        <w:t xml:space="preserve"> </w:t>
      </w:r>
      <w:r w:rsidRPr="00F8671D">
        <w:rPr>
          <w:b/>
        </w:rPr>
        <w:t xml:space="preserve">oznámiť nevyčerpanie schválenej časti dotácie v danom roku implementácie projektu, ktorý bol schválený  na oprávnené obdobie trvania projektových aktivít v lehote  24 mesiacov? Je prijímateľ povinný SAMRS požiadať o zmenu alebo je prijímateľ povinný dodržať čerpanie v danom roku? </w:t>
      </w:r>
    </w:p>
    <w:p w14:paraId="731C23A4" w14:textId="77777777" w:rsidR="00641C92" w:rsidRPr="00F8671D" w:rsidRDefault="00641C92" w:rsidP="00641C92">
      <w:pPr>
        <w:spacing w:after="0" w:line="240" w:lineRule="auto"/>
        <w:rPr>
          <w:color w:val="2E74B5" w:themeColor="accent1" w:themeShade="BF"/>
        </w:rPr>
      </w:pPr>
    </w:p>
    <w:p w14:paraId="19905174" w14:textId="77777777" w:rsidR="00641C92" w:rsidRPr="00F8671D" w:rsidRDefault="00641C92" w:rsidP="00641C92">
      <w:pPr>
        <w:spacing w:after="0" w:line="240" w:lineRule="auto"/>
        <w:jc w:val="both"/>
        <w:rPr>
          <w:b/>
          <w:color w:val="1F4E79" w:themeColor="accent1" w:themeShade="80"/>
        </w:rPr>
      </w:pPr>
      <w:r w:rsidRPr="00535FE6">
        <w:rPr>
          <w:color w:val="1F4E79" w:themeColor="accent1" w:themeShade="80"/>
        </w:rPr>
        <w:t xml:space="preserve">V prípade, že z objektívnych dôvodov  a v prípadoch vyššej moci prijímatelia nevyčerpajú dotačné prostriedky v prvom roku implementácie projektu, sú povinní  o tom informovať vecne  príslušného projektového  a finančného manažéra SAMRS a zároveň elektronicky požiadať o zmenu čerpania </w:t>
      </w:r>
      <w:r w:rsidRPr="00F8671D">
        <w:rPr>
          <w:color w:val="1F4E79" w:themeColor="accent1" w:themeShade="80"/>
        </w:rPr>
        <w:t>dotácie. Po schválení zmeny SAMRS je  prijímateľ povinný upraviť rozpočet  projektu a upravený rozpočet schválený  SAMRS nahrať do GM systému</w:t>
      </w:r>
      <w:r w:rsidRPr="00F8671D">
        <w:rPr>
          <w:b/>
          <w:color w:val="1F4E79" w:themeColor="accent1" w:themeShade="80"/>
        </w:rPr>
        <w:t xml:space="preserve">.    </w:t>
      </w:r>
    </w:p>
    <w:p w14:paraId="4F72F48F" w14:textId="3596935D" w:rsidR="00535FE6" w:rsidRDefault="00535FE6" w:rsidP="002508CC">
      <w:pPr>
        <w:widowControl w:val="0"/>
        <w:tabs>
          <w:tab w:val="left" w:pos="346"/>
        </w:tabs>
        <w:spacing w:before="120" w:after="0" w:line="240" w:lineRule="auto"/>
        <w:ind w:right="103"/>
        <w:jc w:val="both"/>
        <w:rPr>
          <w:rFonts w:cstheme="minorHAnsi"/>
          <w:color w:val="1F4E79" w:themeColor="accent1" w:themeShade="80"/>
        </w:rPr>
      </w:pPr>
    </w:p>
    <w:p w14:paraId="6CA01AAB" w14:textId="77777777" w:rsidR="00535FE6" w:rsidRDefault="00535FE6" w:rsidP="002508CC">
      <w:pPr>
        <w:widowControl w:val="0"/>
        <w:tabs>
          <w:tab w:val="left" w:pos="346"/>
        </w:tabs>
        <w:spacing w:before="120" w:after="0" w:line="240" w:lineRule="auto"/>
        <w:ind w:right="103"/>
        <w:jc w:val="both"/>
        <w:rPr>
          <w:rFonts w:cstheme="minorHAnsi"/>
          <w:color w:val="1F4E79" w:themeColor="accent1" w:themeShade="80"/>
        </w:rPr>
      </w:pPr>
    </w:p>
    <w:p w14:paraId="072E1F9E" w14:textId="77777777" w:rsidR="00535FE6" w:rsidRDefault="00535FE6" w:rsidP="002508CC">
      <w:pPr>
        <w:widowControl w:val="0"/>
        <w:tabs>
          <w:tab w:val="left" w:pos="346"/>
        </w:tabs>
        <w:spacing w:before="120" w:after="0" w:line="240" w:lineRule="auto"/>
        <w:ind w:right="103"/>
        <w:jc w:val="both"/>
        <w:rPr>
          <w:rFonts w:cstheme="minorHAnsi"/>
          <w:color w:val="1F4E79" w:themeColor="accent1" w:themeShade="80"/>
        </w:rPr>
      </w:pPr>
    </w:p>
    <w:p w14:paraId="4030E613" w14:textId="77777777" w:rsidR="00535FE6" w:rsidRPr="00535FE6" w:rsidRDefault="00535FE6" w:rsidP="00535FE6">
      <w:pPr>
        <w:pStyle w:val="Odsekzoznamu"/>
        <w:widowControl w:val="0"/>
        <w:numPr>
          <w:ilvl w:val="0"/>
          <w:numId w:val="1"/>
        </w:numPr>
        <w:tabs>
          <w:tab w:val="left" w:pos="346"/>
        </w:tabs>
        <w:spacing w:before="120" w:after="0" w:line="240" w:lineRule="auto"/>
        <w:ind w:right="103"/>
        <w:contextualSpacing w:val="0"/>
        <w:jc w:val="both"/>
        <w:rPr>
          <w:rFonts w:ascii="Calibri" w:hAnsi="Calibri" w:cs="Calibri"/>
          <w:b/>
        </w:rPr>
      </w:pPr>
      <w:r w:rsidRPr="00535FE6">
        <w:rPr>
          <w:rFonts w:ascii="Calibri" w:hAnsi="Calibri" w:cs="Calibri"/>
          <w:b/>
        </w:rPr>
        <w:lastRenderedPageBreak/>
        <w:t>Ktoré dokumenty bude SAMRS zasielať žiadateľom/prijímateľom dotácie do ich elektronickej</w:t>
      </w:r>
      <w:r w:rsidRPr="00535FE6">
        <w:rPr>
          <w:rFonts w:ascii="Calibri" w:hAnsi="Calibri" w:cs="Calibri"/>
          <w:b/>
          <w:spacing w:val="14"/>
        </w:rPr>
        <w:t xml:space="preserve"> </w:t>
      </w:r>
      <w:r w:rsidRPr="00535FE6">
        <w:rPr>
          <w:rFonts w:ascii="Calibri" w:hAnsi="Calibri" w:cs="Calibri"/>
          <w:b/>
        </w:rPr>
        <w:t>schránky</w:t>
      </w:r>
      <w:r w:rsidRPr="00535FE6">
        <w:rPr>
          <w:rFonts w:ascii="Calibri" w:hAnsi="Calibri" w:cs="Calibri"/>
          <w:b/>
          <w:spacing w:val="14"/>
        </w:rPr>
        <w:t xml:space="preserve"> </w:t>
      </w:r>
      <w:r w:rsidRPr="00535FE6">
        <w:rPr>
          <w:rFonts w:ascii="Calibri" w:hAnsi="Calibri" w:cs="Calibri"/>
          <w:b/>
        </w:rPr>
        <w:t>prostredníctvom</w:t>
      </w:r>
      <w:r w:rsidRPr="00535FE6">
        <w:rPr>
          <w:rFonts w:ascii="Calibri" w:hAnsi="Calibri" w:cs="Calibri"/>
          <w:b/>
          <w:spacing w:val="34"/>
          <w:w w:val="99"/>
        </w:rPr>
        <w:t xml:space="preserve"> </w:t>
      </w:r>
      <w:r w:rsidRPr="00535FE6">
        <w:rPr>
          <w:rFonts w:ascii="Calibri" w:hAnsi="Calibri" w:cs="Calibri"/>
          <w:b/>
        </w:rPr>
        <w:t>Ústredného</w:t>
      </w:r>
      <w:r w:rsidRPr="00535FE6">
        <w:rPr>
          <w:rFonts w:ascii="Calibri" w:hAnsi="Calibri" w:cs="Calibri"/>
          <w:b/>
          <w:spacing w:val="27"/>
        </w:rPr>
        <w:t xml:space="preserve"> </w:t>
      </w:r>
      <w:r w:rsidRPr="00535FE6">
        <w:rPr>
          <w:rFonts w:ascii="Calibri" w:hAnsi="Calibri" w:cs="Calibri"/>
          <w:b/>
        </w:rPr>
        <w:t>portálu</w:t>
      </w:r>
      <w:r w:rsidRPr="00535FE6">
        <w:rPr>
          <w:rFonts w:ascii="Calibri" w:hAnsi="Calibri" w:cs="Calibri"/>
          <w:b/>
          <w:spacing w:val="30"/>
        </w:rPr>
        <w:t xml:space="preserve"> </w:t>
      </w:r>
      <w:r w:rsidRPr="00535FE6">
        <w:rPr>
          <w:rFonts w:ascii="Calibri" w:hAnsi="Calibri" w:cs="Calibri"/>
          <w:b/>
        </w:rPr>
        <w:t>verejnej</w:t>
      </w:r>
      <w:r w:rsidRPr="00535FE6">
        <w:rPr>
          <w:rFonts w:ascii="Calibri" w:hAnsi="Calibri" w:cs="Calibri"/>
          <w:b/>
          <w:spacing w:val="30"/>
        </w:rPr>
        <w:t xml:space="preserve"> </w:t>
      </w:r>
      <w:r w:rsidRPr="00535FE6">
        <w:rPr>
          <w:rFonts w:ascii="Calibri" w:hAnsi="Calibri" w:cs="Calibri"/>
          <w:b/>
        </w:rPr>
        <w:t>správy?</w:t>
      </w:r>
      <w:r w:rsidRPr="00535FE6">
        <w:rPr>
          <w:rFonts w:ascii="Calibri" w:hAnsi="Calibri" w:cs="Calibri"/>
          <w:b/>
          <w:spacing w:val="28"/>
        </w:rPr>
        <w:t xml:space="preserve"> </w:t>
      </w:r>
    </w:p>
    <w:p w14:paraId="2EF73FEB" w14:textId="206E79E3" w:rsidR="00535FE6" w:rsidRPr="00535FE6" w:rsidRDefault="00535FE6" w:rsidP="00535FE6">
      <w:pPr>
        <w:widowControl w:val="0"/>
        <w:tabs>
          <w:tab w:val="left" w:pos="346"/>
        </w:tabs>
        <w:spacing w:before="120" w:after="0" w:line="240" w:lineRule="auto"/>
        <w:ind w:right="103"/>
        <w:jc w:val="both"/>
        <w:rPr>
          <w:rFonts w:ascii="Calibri" w:hAnsi="Calibri" w:cs="Calibri"/>
          <w:color w:val="1F4E79" w:themeColor="accent1" w:themeShade="80"/>
        </w:rPr>
      </w:pPr>
      <w:r w:rsidRPr="00535FE6">
        <w:rPr>
          <w:rFonts w:ascii="Calibri" w:hAnsi="Calibri" w:cs="Calibri"/>
          <w:color w:val="1F4E79" w:themeColor="accent1" w:themeShade="80"/>
          <w:spacing w:val="28"/>
        </w:rPr>
        <w:t xml:space="preserve">SAMRS bude </w:t>
      </w:r>
      <w:r w:rsidRPr="00535FE6">
        <w:rPr>
          <w:rFonts w:ascii="Calibri" w:hAnsi="Calibri" w:cs="Calibri"/>
          <w:color w:val="1F4E79" w:themeColor="accent1" w:themeShade="80"/>
        </w:rPr>
        <w:t>žiadateľom/prijímateľom dotácie do elektronickej</w:t>
      </w:r>
      <w:r w:rsidRPr="00535FE6">
        <w:rPr>
          <w:rFonts w:ascii="Calibri" w:hAnsi="Calibri" w:cs="Calibri"/>
          <w:color w:val="1F4E79" w:themeColor="accent1" w:themeShade="80"/>
          <w:spacing w:val="14"/>
        </w:rPr>
        <w:t xml:space="preserve"> </w:t>
      </w:r>
      <w:r w:rsidRPr="00535FE6">
        <w:rPr>
          <w:rFonts w:ascii="Calibri" w:hAnsi="Calibri" w:cs="Calibri"/>
          <w:color w:val="1F4E79" w:themeColor="accent1" w:themeShade="80"/>
        </w:rPr>
        <w:t>schránky</w:t>
      </w:r>
      <w:r w:rsidRPr="00535FE6">
        <w:rPr>
          <w:rFonts w:ascii="Calibri" w:hAnsi="Calibri" w:cs="Calibri"/>
          <w:color w:val="1F4E79" w:themeColor="accent1" w:themeShade="80"/>
          <w:spacing w:val="14"/>
        </w:rPr>
        <w:t xml:space="preserve"> </w:t>
      </w:r>
      <w:r w:rsidRPr="00535FE6">
        <w:rPr>
          <w:rFonts w:ascii="Calibri" w:hAnsi="Calibri" w:cs="Calibri"/>
          <w:color w:val="1F4E79" w:themeColor="accent1" w:themeShade="80"/>
        </w:rPr>
        <w:t>prostredníctvom</w:t>
      </w:r>
      <w:r w:rsidRPr="00535FE6">
        <w:rPr>
          <w:rFonts w:ascii="Calibri" w:hAnsi="Calibri" w:cs="Calibri"/>
          <w:color w:val="1F4E79" w:themeColor="accent1" w:themeShade="80"/>
          <w:spacing w:val="34"/>
          <w:w w:val="99"/>
        </w:rPr>
        <w:t xml:space="preserve"> </w:t>
      </w:r>
      <w:r w:rsidRPr="00535FE6">
        <w:rPr>
          <w:rFonts w:ascii="Calibri" w:hAnsi="Calibri" w:cs="Calibri"/>
          <w:color w:val="1F4E79" w:themeColor="accent1" w:themeShade="80"/>
        </w:rPr>
        <w:t>Ústredného</w:t>
      </w:r>
      <w:r w:rsidRPr="00535FE6">
        <w:rPr>
          <w:rFonts w:ascii="Calibri" w:hAnsi="Calibri" w:cs="Calibri"/>
          <w:color w:val="1F4E79" w:themeColor="accent1" w:themeShade="80"/>
          <w:spacing w:val="27"/>
        </w:rPr>
        <w:t xml:space="preserve"> </w:t>
      </w:r>
      <w:r w:rsidRPr="00535FE6">
        <w:rPr>
          <w:rFonts w:ascii="Calibri" w:hAnsi="Calibri" w:cs="Calibri"/>
          <w:color w:val="1F4E79" w:themeColor="accent1" w:themeShade="80"/>
        </w:rPr>
        <w:t>portálu</w:t>
      </w:r>
      <w:r w:rsidRPr="00535FE6">
        <w:rPr>
          <w:rFonts w:ascii="Calibri" w:hAnsi="Calibri" w:cs="Calibri"/>
          <w:color w:val="1F4E79" w:themeColor="accent1" w:themeShade="80"/>
          <w:spacing w:val="30"/>
        </w:rPr>
        <w:t xml:space="preserve"> </w:t>
      </w:r>
      <w:r w:rsidRPr="00535FE6">
        <w:rPr>
          <w:rFonts w:ascii="Calibri" w:hAnsi="Calibri" w:cs="Calibri"/>
          <w:color w:val="1F4E79" w:themeColor="accent1" w:themeShade="80"/>
        </w:rPr>
        <w:t>verejnej</w:t>
      </w:r>
      <w:r w:rsidRPr="00535FE6">
        <w:rPr>
          <w:rFonts w:ascii="Calibri" w:hAnsi="Calibri" w:cs="Calibri"/>
          <w:color w:val="1F4E79" w:themeColor="accent1" w:themeShade="80"/>
          <w:spacing w:val="30"/>
        </w:rPr>
        <w:t xml:space="preserve"> </w:t>
      </w:r>
      <w:r w:rsidRPr="00535FE6">
        <w:rPr>
          <w:rFonts w:ascii="Calibri" w:hAnsi="Calibri" w:cs="Calibri"/>
          <w:color w:val="1F4E79" w:themeColor="accent1" w:themeShade="80"/>
        </w:rPr>
        <w:t>správy zasielať oznámenia o schválení/neschválení žiadosti o poskytnutí dotácie,</w:t>
      </w:r>
      <w:r w:rsidR="006D4194">
        <w:rPr>
          <w:rFonts w:ascii="Calibri" w:hAnsi="Calibri" w:cs="Calibri"/>
          <w:color w:val="1F4E79" w:themeColor="accent1" w:themeShade="80"/>
        </w:rPr>
        <w:t xml:space="preserve"> </w:t>
      </w:r>
      <w:r w:rsidRPr="00535FE6">
        <w:rPr>
          <w:rFonts w:ascii="Calibri" w:hAnsi="Calibri" w:cs="Calibri"/>
          <w:color w:val="1F4E79" w:themeColor="accent1" w:themeShade="80"/>
        </w:rPr>
        <w:t>list</w:t>
      </w:r>
      <w:r w:rsidR="006D4194">
        <w:rPr>
          <w:rFonts w:ascii="Calibri" w:hAnsi="Calibri" w:cs="Calibri"/>
          <w:color w:val="1F4E79" w:themeColor="accent1" w:themeShade="80"/>
        </w:rPr>
        <w:t>y</w:t>
      </w:r>
      <w:r w:rsidRPr="00535FE6">
        <w:rPr>
          <w:rFonts w:ascii="Calibri" w:hAnsi="Calibri" w:cs="Calibri"/>
          <w:color w:val="1F4E79" w:themeColor="accent1" w:themeShade="80"/>
        </w:rPr>
        <w:t xml:space="preserve"> o schválení/neschválení zmien v projekte a dokumenty súvisiace s vyúčtovaním projektu (tabuľku oprávnených nákladov, návrh správy z administratívnej finančnej kontroly, správa z administratívnej finančnej kontroly).</w:t>
      </w:r>
    </w:p>
    <w:p w14:paraId="67AC4215" w14:textId="77777777" w:rsidR="00535FE6" w:rsidRPr="00535FE6" w:rsidRDefault="00535FE6" w:rsidP="002508CC">
      <w:pPr>
        <w:widowControl w:val="0"/>
        <w:tabs>
          <w:tab w:val="left" w:pos="346"/>
        </w:tabs>
        <w:spacing w:before="120" w:after="0" w:line="240" w:lineRule="auto"/>
        <w:ind w:right="103"/>
        <w:jc w:val="both"/>
        <w:rPr>
          <w:rFonts w:cstheme="minorHAnsi"/>
          <w:color w:val="1F4E79" w:themeColor="accent1" w:themeShade="80"/>
        </w:rPr>
      </w:pPr>
    </w:p>
    <w:sectPr w:rsidR="00535FE6" w:rsidRPr="00535FE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D656" w14:textId="77777777" w:rsidR="00885F96" w:rsidRDefault="00885F96" w:rsidP="00E336A2">
      <w:pPr>
        <w:spacing w:after="0" w:line="240" w:lineRule="auto"/>
      </w:pPr>
      <w:r>
        <w:separator/>
      </w:r>
    </w:p>
  </w:endnote>
  <w:endnote w:type="continuationSeparator" w:id="0">
    <w:p w14:paraId="336F93AE" w14:textId="77777777" w:rsidR="00885F96" w:rsidRDefault="00885F96" w:rsidP="00E33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139789"/>
      <w:docPartObj>
        <w:docPartGallery w:val="Page Numbers (Bottom of Page)"/>
        <w:docPartUnique/>
      </w:docPartObj>
    </w:sdtPr>
    <w:sdtEndPr/>
    <w:sdtContent>
      <w:p w14:paraId="3A524F92" w14:textId="2990B84D" w:rsidR="00423877" w:rsidRDefault="00423877">
        <w:pPr>
          <w:pStyle w:val="Pta"/>
          <w:jc w:val="right"/>
        </w:pPr>
        <w:r>
          <w:fldChar w:fldCharType="begin"/>
        </w:r>
        <w:r>
          <w:instrText>PAGE   \* MERGEFORMAT</w:instrText>
        </w:r>
        <w:r>
          <w:fldChar w:fldCharType="separate"/>
        </w:r>
        <w:r w:rsidR="00E153C5">
          <w:rPr>
            <w:noProof/>
          </w:rPr>
          <w:t>4</w:t>
        </w:r>
        <w:r>
          <w:fldChar w:fldCharType="end"/>
        </w:r>
      </w:p>
    </w:sdtContent>
  </w:sdt>
  <w:p w14:paraId="02C3662A" w14:textId="77777777" w:rsidR="00423877" w:rsidRDefault="004238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42ADF" w14:textId="77777777" w:rsidR="00885F96" w:rsidRDefault="00885F96" w:rsidP="00E336A2">
      <w:pPr>
        <w:spacing w:after="0" w:line="240" w:lineRule="auto"/>
      </w:pPr>
      <w:r>
        <w:separator/>
      </w:r>
    </w:p>
  </w:footnote>
  <w:footnote w:type="continuationSeparator" w:id="0">
    <w:p w14:paraId="385DB9DF" w14:textId="77777777" w:rsidR="00885F96" w:rsidRDefault="00885F96" w:rsidP="00E33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DA27" w14:textId="3C296365" w:rsidR="003A08F7" w:rsidRDefault="00E9351D" w:rsidP="00E9351D">
    <w:pPr>
      <w:pStyle w:val="Hlavika"/>
      <w:tabs>
        <w:tab w:val="left" w:pos="1905"/>
      </w:tabs>
    </w:pPr>
    <w:r>
      <w:rPr>
        <w:noProof/>
      </w:rPr>
      <w:drawing>
        <wp:anchor distT="0" distB="0" distL="0" distR="0" simplePos="0" relativeHeight="251659264" behindDoc="0" locked="0" layoutInCell="1" allowOverlap="1" wp14:anchorId="1F052E3F" wp14:editId="425EE373">
          <wp:simplePos x="0" y="0"/>
          <wp:positionH relativeFrom="page">
            <wp:posOffset>271145</wp:posOffset>
          </wp:positionH>
          <wp:positionV relativeFrom="paragraph">
            <wp:posOffset>-172085</wp:posOffset>
          </wp:positionV>
          <wp:extent cx="5377815" cy="805180"/>
          <wp:effectExtent l="0" t="0" r="0" b="0"/>
          <wp:wrapTopAndBottom/>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a:picLocks noChangeAspect="1" noChangeArrowheads="1"/>
                  </pic:cNvPicPr>
                </pic:nvPicPr>
                <pic:blipFill>
                  <a:blip r:embed="rId1">
                    <a:extLst>
                      <a:ext uri="{28A0092B-C50C-407E-A947-70E740481C1C}">
                        <a14:useLocalDpi xmlns:a14="http://schemas.microsoft.com/office/drawing/2010/main" val="0"/>
                      </a:ext>
                    </a:extLst>
                  </a:blip>
                  <a:srcRect b="6046"/>
                  <a:stretch>
                    <a:fillRect/>
                  </a:stretch>
                </pic:blipFill>
                <pic:spPr bwMode="auto">
                  <a:xfrm>
                    <a:off x="0" y="0"/>
                    <a:ext cx="5377815"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3C9B"/>
    <w:multiLevelType w:val="hybridMultilevel"/>
    <w:tmpl w:val="05F858E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39B1736C"/>
    <w:multiLevelType w:val="hybridMultilevel"/>
    <w:tmpl w:val="C890DD3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3E737914"/>
    <w:multiLevelType w:val="hybridMultilevel"/>
    <w:tmpl w:val="AB289C78"/>
    <w:lvl w:ilvl="0" w:tplc="35AA4B5A">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498F3165"/>
    <w:multiLevelType w:val="hybridMultilevel"/>
    <w:tmpl w:val="4636DA4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5CB73406"/>
    <w:multiLevelType w:val="multilevel"/>
    <w:tmpl w:val="041B001F"/>
    <w:lvl w:ilvl="0">
      <w:start w:val="1"/>
      <w:numFmt w:val="decimal"/>
      <w:lvlText w:val="%1."/>
      <w:lvlJc w:val="left"/>
      <w:pPr>
        <w:ind w:left="360" w:hanging="360"/>
      </w:pPr>
      <w:rPr>
        <w:rFonts w:hint="default"/>
        <w:b/>
        <w:bCs/>
        <w:w w:val="99"/>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36B3B5E"/>
    <w:multiLevelType w:val="hybridMultilevel"/>
    <w:tmpl w:val="842877E2"/>
    <w:lvl w:ilvl="0" w:tplc="F6F26AE0">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63C96584"/>
    <w:multiLevelType w:val="hybridMultilevel"/>
    <w:tmpl w:val="6F1CF8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8A41B90"/>
    <w:multiLevelType w:val="hybridMultilevel"/>
    <w:tmpl w:val="76120FF4"/>
    <w:lvl w:ilvl="0" w:tplc="59A48088">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726D0F1B"/>
    <w:multiLevelType w:val="hybridMultilevel"/>
    <w:tmpl w:val="7FCC2D30"/>
    <w:lvl w:ilvl="0" w:tplc="7C4AC3C2">
      <w:numFmt w:val="bullet"/>
      <w:lvlText w:val="-"/>
      <w:lvlJc w:val="left"/>
      <w:pPr>
        <w:ind w:left="720" w:hanging="360"/>
      </w:pPr>
      <w:rPr>
        <w:rFonts w:ascii="Arial" w:eastAsia="PMingLiU"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49B3E1C"/>
    <w:multiLevelType w:val="hybridMultilevel"/>
    <w:tmpl w:val="8ACE8A24"/>
    <w:lvl w:ilvl="0" w:tplc="7C4AC3C2">
      <w:numFmt w:val="bullet"/>
      <w:lvlText w:val="-"/>
      <w:lvlJc w:val="left"/>
      <w:pPr>
        <w:ind w:left="720" w:hanging="360"/>
      </w:pPr>
      <w:rPr>
        <w:rFonts w:ascii="Arial" w:eastAsia="PMingLiU"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969360550">
    <w:abstractNumId w:val="7"/>
  </w:num>
  <w:num w:numId="2" w16cid:durableId="1523275662">
    <w:abstractNumId w:val="2"/>
  </w:num>
  <w:num w:numId="3" w16cid:durableId="781150066">
    <w:abstractNumId w:val="6"/>
  </w:num>
  <w:num w:numId="4" w16cid:durableId="1364017633">
    <w:abstractNumId w:val="1"/>
  </w:num>
  <w:num w:numId="5" w16cid:durableId="530845202">
    <w:abstractNumId w:val="3"/>
  </w:num>
  <w:num w:numId="6" w16cid:durableId="276184071">
    <w:abstractNumId w:val="8"/>
  </w:num>
  <w:num w:numId="7" w16cid:durableId="530335842">
    <w:abstractNumId w:val="9"/>
  </w:num>
  <w:num w:numId="8" w16cid:durableId="877740018">
    <w:abstractNumId w:val="5"/>
  </w:num>
  <w:num w:numId="9" w16cid:durableId="17496959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9785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871"/>
    <w:rsid w:val="00024DE0"/>
    <w:rsid w:val="000342F2"/>
    <w:rsid w:val="00057780"/>
    <w:rsid w:val="00086F08"/>
    <w:rsid w:val="0009169E"/>
    <w:rsid w:val="000A41AC"/>
    <w:rsid w:val="000D1DE0"/>
    <w:rsid w:val="000D5AC5"/>
    <w:rsid w:val="000D6B68"/>
    <w:rsid w:val="000E6363"/>
    <w:rsid w:val="00102079"/>
    <w:rsid w:val="00107475"/>
    <w:rsid w:val="00137E0F"/>
    <w:rsid w:val="00142A5C"/>
    <w:rsid w:val="00143D6E"/>
    <w:rsid w:val="0014527E"/>
    <w:rsid w:val="00153DFD"/>
    <w:rsid w:val="00167442"/>
    <w:rsid w:val="00172813"/>
    <w:rsid w:val="00185961"/>
    <w:rsid w:val="00191D0C"/>
    <w:rsid w:val="00195C46"/>
    <w:rsid w:val="001A42B6"/>
    <w:rsid w:val="001A4FFB"/>
    <w:rsid w:val="001B1B52"/>
    <w:rsid w:val="001C0C20"/>
    <w:rsid w:val="001C2AA6"/>
    <w:rsid w:val="001C5D44"/>
    <w:rsid w:val="001D1076"/>
    <w:rsid w:val="001D3D11"/>
    <w:rsid w:val="0020211B"/>
    <w:rsid w:val="00203C8A"/>
    <w:rsid w:val="00207FB0"/>
    <w:rsid w:val="002308A3"/>
    <w:rsid w:val="002508CC"/>
    <w:rsid w:val="00255AB6"/>
    <w:rsid w:val="00264B5A"/>
    <w:rsid w:val="0028121E"/>
    <w:rsid w:val="00284C0F"/>
    <w:rsid w:val="00285162"/>
    <w:rsid w:val="00295B6E"/>
    <w:rsid w:val="002C08BB"/>
    <w:rsid w:val="002C4FE5"/>
    <w:rsid w:val="002F5C39"/>
    <w:rsid w:val="003377AE"/>
    <w:rsid w:val="003823DA"/>
    <w:rsid w:val="003930BE"/>
    <w:rsid w:val="00394484"/>
    <w:rsid w:val="003A08F7"/>
    <w:rsid w:val="003B7579"/>
    <w:rsid w:val="003B7AE9"/>
    <w:rsid w:val="003C05F1"/>
    <w:rsid w:val="003E16E7"/>
    <w:rsid w:val="003E5B0D"/>
    <w:rsid w:val="003E6D97"/>
    <w:rsid w:val="00410198"/>
    <w:rsid w:val="00410C77"/>
    <w:rsid w:val="00423877"/>
    <w:rsid w:val="0044196A"/>
    <w:rsid w:val="00446591"/>
    <w:rsid w:val="00463E12"/>
    <w:rsid w:val="0049076E"/>
    <w:rsid w:val="004B53FB"/>
    <w:rsid w:val="004D7744"/>
    <w:rsid w:val="004F440E"/>
    <w:rsid w:val="00502673"/>
    <w:rsid w:val="0050462A"/>
    <w:rsid w:val="00506001"/>
    <w:rsid w:val="005124B1"/>
    <w:rsid w:val="00516E62"/>
    <w:rsid w:val="00530393"/>
    <w:rsid w:val="005325CA"/>
    <w:rsid w:val="00535FE6"/>
    <w:rsid w:val="00597AC6"/>
    <w:rsid w:val="005A1BF5"/>
    <w:rsid w:val="005C4FB4"/>
    <w:rsid w:val="005D38C4"/>
    <w:rsid w:val="005D6286"/>
    <w:rsid w:val="005F3C90"/>
    <w:rsid w:val="00612B21"/>
    <w:rsid w:val="00641C92"/>
    <w:rsid w:val="00645DCC"/>
    <w:rsid w:val="00656A51"/>
    <w:rsid w:val="0067576B"/>
    <w:rsid w:val="00676E3A"/>
    <w:rsid w:val="00690CDC"/>
    <w:rsid w:val="006B0DE0"/>
    <w:rsid w:val="006C27F2"/>
    <w:rsid w:val="006C2D8B"/>
    <w:rsid w:val="006C439B"/>
    <w:rsid w:val="006C5F9D"/>
    <w:rsid w:val="006D2C9B"/>
    <w:rsid w:val="006D4194"/>
    <w:rsid w:val="006F0F5D"/>
    <w:rsid w:val="006F0FEB"/>
    <w:rsid w:val="006F4240"/>
    <w:rsid w:val="0070083E"/>
    <w:rsid w:val="00703334"/>
    <w:rsid w:val="007055D5"/>
    <w:rsid w:val="00706801"/>
    <w:rsid w:val="007123DE"/>
    <w:rsid w:val="00723965"/>
    <w:rsid w:val="00730B4B"/>
    <w:rsid w:val="00733E78"/>
    <w:rsid w:val="00756B85"/>
    <w:rsid w:val="0078493A"/>
    <w:rsid w:val="007D118A"/>
    <w:rsid w:val="007E7463"/>
    <w:rsid w:val="00806363"/>
    <w:rsid w:val="0082167D"/>
    <w:rsid w:val="00821D91"/>
    <w:rsid w:val="00823FA3"/>
    <w:rsid w:val="0083759C"/>
    <w:rsid w:val="00842DD9"/>
    <w:rsid w:val="00856A52"/>
    <w:rsid w:val="0085752B"/>
    <w:rsid w:val="008613D2"/>
    <w:rsid w:val="008633E0"/>
    <w:rsid w:val="008720F4"/>
    <w:rsid w:val="00885F96"/>
    <w:rsid w:val="00894871"/>
    <w:rsid w:val="008A068D"/>
    <w:rsid w:val="008B5026"/>
    <w:rsid w:val="008D3BB2"/>
    <w:rsid w:val="008F436A"/>
    <w:rsid w:val="00905FE1"/>
    <w:rsid w:val="009134BB"/>
    <w:rsid w:val="00921D0A"/>
    <w:rsid w:val="00932413"/>
    <w:rsid w:val="00935432"/>
    <w:rsid w:val="00936624"/>
    <w:rsid w:val="00960BF5"/>
    <w:rsid w:val="00961DE7"/>
    <w:rsid w:val="009625FD"/>
    <w:rsid w:val="009731F6"/>
    <w:rsid w:val="00980618"/>
    <w:rsid w:val="00985F1B"/>
    <w:rsid w:val="00986A01"/>
    <w:rsid w:val="009908F2"/>
    <w:rsid w:val="009B204D"/>
    <w:rsid w:val="009B3794"/>
    <w:rsid w:val="009C3E09"/>
    <w:rsid w:val="009F7787"/>
    <w:rsid w:val="00A044DD"/>
    <w:rsid w:val="00A31B50"/>
    <w:rsid w:val="00A33542"/>
    <w:rsid w:val="00A460CA"/>
    <w:rsid w:val="00A57A1F"/>
    <w:rsid w:val="00A62094"/>
    <w:rsid w:val="00A630B8"/>
    <w:rsid w:val="00A67F8E"/>
    <w:rsid w:val="00A872C6"/>
    <w:rsid w:val="00AB1FE1"/>
    <w:rsid w:val="00AF16FD"/>
    <w:rsid w:val="00B04542"/>
    <w:rsid w:val="00B1360A"/>
    <w:rsid w:val="00B21242"/>
    <w:rsid w:val="00B50E30"/>
    <w:rsid w:val="00B567F7"/>
    <w:rsid w:val="00B64AB6"/>
    <w:rsid w:val="00B66545"/>
    <w:rsid w:val="00BA33B4"/>
    <w:rsid w:val="00BB6022"/>
    <w:rsid w:val="00BC3344"/>
    <w:rsid w:val="00BD5F3B"/>
    <w:rsid w:val="00BE02A5"/>
    <w:rsid w:val="00C004EE"/>
    <w:rsid w:val="00C05649"/>
    <w:rsid w:val="00C37415"/>
    <w:rsid w:val="00C432BB"/>
    <w:rsid w:val="00C62492"/>
    <w:rsid w:val="00C90BE7"/>
    <w:rsid w:val="00CB4514"/>
    <w:rsid w:val="00CB6C7E"/>
    <w:rsid w:val="00CD0A2A"/>
    <w:rsid w:val="00CD36D8"/>
    <w:rsid w:val="00D76DE3"/>
    <w:rsid w:val="00DA0D47"/>
    <w:rsid w:val="00DB5C12"/>
    <w:rsid w:val="00DD1250"/>
    <w:rsid w:val="00DE32F9"/>
    <w:rsid w:val="00E02B61"/>
    <w:rsid w:val="00E153C5"/>
    <w:rsid w:val="00E24445"/>
    <w:rsid w:val="00E273B9"/>
    <w:rsid w:val="00E336A2"/>
    <w:rsid w:val="00E45142"/>
    <w:rsid w:val="00E53C3B"/>
    <w:rsid w:val="00E61C8D"/>
    <w:rsid w:val="00E62A12"/>
    <w:rsid w:val="00E862BE"/>
    <w:rsid w:val="00E908C7"/>
    <w:rsid w:val="00E9351D"/>
    <w:rsid w:val="00E9598A"/>
    <w:rsid w:val="00EB74C6"/>
    <w:rsid w:val="00EC3983"/>
    <w:rsid w:val="00ED0F09"/>
    <w:rsid w:val="00ED46ED"/>
    <w:rsid w:val="00ED76AA"/>
    <w:rsid w:val="00EF11D8"/>
    <w:rsid w:val="00F22182"/>
    <w:rsid w:val="00F2379A"/>
    <w:rsid w:val="00F33183"/>
    <w:rsid w:val="00F35D60"/>
    <w:rsid w:val="00F40BF7"/>
    <w:rsid w:val="00F434AF"/>
    <w:rsid w:val="00F51742"/>
    <w:rsid w:val="00F71F01"/>
    <w:rsid w:val="00F8657C"/>
    <w:rsid w:val="00F8671D"/>
    <w:rsid w:val="00F92244"/>
    <w:rsid w:val="00FB2533"/>
    <w:rsid w:val="00FB4671"/>
    <w:rsid w:val="00FC1413"/>
    <w:rsid w:val="00FE2E1B"/>
    <w:rsid w:val="00FF2B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7E08"/>
  <w15:docId w15:val="{18DD252B-F300-4BF8-AF7F-DD5CC2977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894871"/>
    <w:pPr>
      <w:ind w:left="720"/>
      <w:contextualSpacing/>
    </w:pPr>
  </w:style>
  <w:style w:type="character" w:styleId="Hypertextovprepojenie">
    <w:name w:val="Hyperlink"/>
    <w:basedOn w:val="Predvolenpsmoodseku"/>
    <w:uiPriority w:val="99"/>
    <w:unhideWhenUsed/>
    <w:rsid w:val="00A31B50"/>
    <w:rPr>
      <w:color w:val="0563C1" w:themeColor="hyperlink"/>
      <w:u w:val="single"/>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 Char4"/>
    <w:basedOn w:val="Normlny"/>
    <w:link w:val="TextpoznmkypodiarouChar"/>
    <w:uiPriority w:val="99"/>
    <w:unhideWhenUsed/>
    <w:qFormat/>
    <w:rsid w:val="00E336A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336A2"/>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FootnoteReferneceChar"/>
    <w:uiPriority w:val="99"/>
    <w:unhideWhenUsed/>
    <w:qFormat/>
    <w:rsid w:val="00E336A2"/>
    <w:rPr>
      <w:vertAlign w:val="superscript"/>
    </w:rPr>
  </w:style>
  <w:style w:type="paragraph" w:customStyle="1" w:styleId="Default">
    <w:name w:val="Default"/>
    <w:rsid w:val="00706801"/>
    <w:pPr>
      <w:autoSpaceDE w:val="0"/>
      <w:autoSpaceDN w:val="0"/>
      <w:adjustRightInd w:val="0"/>
      <w:spacing w:after="0" w:line="240" w:lineRule="auto"/>
    </w:pPr>
    <w:rPr>
      <w:rFonts w:ascii="Calibri" w:hAnsi="Calibri" w:cs="Calibri"/>
      <w:color w:val="000000"/>
      <w:sz w:val="24"/>
      <w:szCs w:val="24"/>
    </w:rPr>
  </w:style>
  <w:style w:type="character" w:styleId="Odkaznakomentr">
    <w:name w:val="annotation reference"/>
    <w:basedOn w:val="Predvolenpsmoodseku"/>
    <w:uiPriority w:val="99"/>
    <w:semiHidden/>
    <w:unhideWhenUsed/>
    <w:rsid w:val="009134BB"/>
    <w:rPr>
      <w:sz w:val="16"/>
      <w:szCs w:val="16"/>
    </w:rPr>
  </w:style>
  <w:style w:type="paragraph" w:styleId="Textkomentra">
    <w:name w:val="annotation text"/>
    <w:basedOn w:val="Normlny"/>
    <w:link w:val="TextkomentraChar"/>
    <w:uiPriority w:val="99"/>
    <w:semiHidden/>
    <w:unhideWhenUsed/>
    <w:rsid w:val="009134BB"/>
    <w:pPr>
      <w:spacing w:line="240" w:lineRule="auto"/>
    </w:pPr>
    <w:rPr>
      <w:sz w:val="20"/>
      <w:szCs w:val="20"/>
    </w:rPr>
  </w:style>
  <w:style w:type="character" w:customStyle="1" w:styleId="TextkomentraChar">
    <w:name w:val="Text komentára Char"/>
    <w:basedOn w:val="Predvolenpsmoodseku"/>
    <w:link w:val="Textkomentra"/>
    <w:uiPriority w:val="99"/>
    <w:semiHidden/>
    <w:rsid w:val="009134BB"/>
    <w:rPr>
      <w:sz w:val="20"/>
      <w:szCs w:val="20"/>
    </w:rPr>
  </w:style>
  <w:style w:type="paragraph" w:styleId="Predmetkomentra">
    <w:name w:val="annotation subject"/>
    <w:basedOn w:val="Textkomentra"/>
    <w:next w:val="Textkomentra"/>
    <w:link w:val="PredmetkomentraChar"/>
    <w:uiPriority w:val="99"/>
    <w:semiHidden/>
    <w:unhideWhenUsed/>
    <w:rsid w:val="009134BB"/>
    <w:rPr>
      <w:b/>
      <w:bCs/>
    </w:rPr>
  </w:style>
  <w:style w:type="character" w:customStyle="1" w:styleId="PredmetkomentraChar">
    <w:name w:val="Predmet komentára Char"/>
    <w:basedOn w:val="TextkomentraChar"/>
    <w:link w:val="Predmetkomentra"/>
    <w:uiPriority w:val="99"/>
    <w:semiHidden/>
    <w:rsid w:val="009134BB"/>
    <w:rPr>
      <w:b/>
      <w:bCs/>
      <w:sz w:val="20"/>
      <w:szCs w:val="20"/>
    </w:rPr>
  </w:style>
  <w:style w:type="paragraph" w:styleId="Textbubliny">
    <w:name w:val="Balloon Text"/>
    <w:basedOn w:val="Normlny"/>
    <w:link w:val="TextbublinyChar"/>
    <w:uiPriority w:val="99"/>
    <w:semiHidden/>
    <w:unhideWhenUsed/>
    <w:rsid w:val="009134B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134BB"/>
    <w:rPr>
      <w:rFonts w:ascii="Segoe UI" w:hAnsi="Segoe UI" w:cs="Segoe UI"/>
      <w:sz w:val="18"/>
      <w:szCs w:val="18"/>
    </w:rPr>
  </w:style>
  <w:style w:type="paragraph" w:styleId="Hlavika">
    <w:name w:val="header"/>
    <w:basedOn w:val="Normlny"/>
    <w:link w:val="HlavikaChar"/>
    <w:uiPriority w:val="99"/>
    <w:unhideWhenUsed/>
    <w:rsid w:val="003A08F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A08F7"/>
  </w:style>
  <w:style w:type="paragraph" w:styleId="Pta">
    <w:name w:val="footer"/>
    <w:basedOn w:val="Normlny"/>
    <w:link w:val="PtaChar"/>
    <w:uiPriority w:val="99"/>
    <w:unhideWhenUsed/>
    <w:rsid w:val="003A08F7"/>
    <w:pPr>
      <w:tabs>
        <w:tab w:val="center" w:pos="4536"/>
        <w:tab w:val="right" w:pos="9072"/>
      </w:tabs>
      <w:spacing w:after="0" w:line="240" w:lineRule="auto"/>
    </w:pPr>
  </w:style>
  <w:style w:type="character" w:customStyle="1" w:styleId="PtaChar">
    <w:name w:val="Päta Char"/>
    <w:basedOn w:val="Predvolenpsmoodseku"/>
    <w:link w:val="Pta"/>
    <w:uiPriority w:val="99"/>
    <w:rsid w:val="003A08F7"/>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link w:val="Odkaznapoznmkupodiarou"/>
    <w:uiPriority w:val="99"/>
    <w:rsid w:val="001C0C20"/>
    <w:pPr>
      <w:spacing w:before="240" w:line="240" w:lineRule="exact"/>
    </w:pPr>
    <w:rPr>
      <w:vertAlign w:val="superscript"/>
    </w:rPr>
  </w:style>
  <w:style w:type="character" w:customStyle="1" w:styleId="OdsekzoznamuChar">
    <w:name w:val="Odsek zoznamu Char"/>
    <w:aliases w:val="body Char,Odsek zoznamu2 Char,List Paragraph Char"/>
    <w:basedOn w:val="Predvolenpsmoodseku"/>
    <w:link w:val="Odsekzoznamu"/>
    <w:uiPriority w:val="34"/>
    <w:locked/>
    <w:rsid w:val="00DA0D47"/>
  </w:style>
  <w:style w:type="paragraph" w:styleId="Revzia">
    <w:name w:val="Revision"/>
    <w:hidden/>
    <w:uiPriority w:val="99"/>
    <w:semiHidden/>
    <w:rsid w:val="00E451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1362">
      <w:bodyDiv w:val="1"/>
      <w:marLeft w:val="0"/>
      <w:marRight w:val="0"/>
      <w:marTop w:val="0"/>
      <w:marBottom w:val="0"/>
      <w:divBdr>
        <w:top w:val="none" w:sz="0" w:space="0" w:color="auto"/>
        <w:left w:val="none" w:sz="0" w:space="0" w:color="auto"/>
        <w:bottom w:val="none" w:sz="0" w:space="0" w:color="auto"/>
        <w:right w:val="none" w:sz="0" w:space="0" w:color="auto"/>
      </w:divBdr>
    </w:div>
    <w:div w:id="480539796">
      <w:bodyDiv w:val="1"/>
      <w:marLeft w:val="0"/>
      <w:marRight w:val="0"/>
      <w:marTop w:val="0"/>
      <w:marBottom w:val="0"/>
      <w:divBdr>
        <w:top w:val="none" w:sz="0" w:space="0" w:color="auto"/>
        <w:left w:val="none" w:sz="0" w:space="0" w:color="auto"/>
        <w:bottom w:val="none" w:sz="0" w:space="0" w:color="auto"/>
        <w:right w:val="none" w:sz="0" w:space="0" w:color="auto"/>
      </w:divBdr>
      <w:divsChild>
        <w:div w:id="1225025059">
          <w:marLeft w:val="0"/>
          <w:marRight w:val="0"/>
          <w:marTop w:val="0"/>
          <w:marBottom w:val="0"/>
          <w:divBdr>
            <w:top w:val="none" w:sz="0" w:space="0" w:color="auto"/>
            <w:left w:val="none" w:sz="0" w:space="0" w:color="auto"/>
            <w:bottom w:val="none" w:sz="0" w:space="0" w:color="auto"/>
            <w:right w:val="none" w:sz="0" w:space="0" w:color="auto"/>
          </w:divBdr>
        </w:div>
        <w:div w:id="1763867901">
          <w:marLeft w:val="0"/>
          <w:marRight w:val="0"/>
          <w:marTop w:val="0"/>
          <w:marBottom w:val="0"/>
          <w:divBdr>
            <w:top w:val="none" w:sz="0" w:space="0" w:color="auto"/>
            <w:left w:val="none" w:sz="0" w:space="0" w:color="auto"/>
            <w:bottom w:val="none" w:sz="0" w:space="0" w:color="auto"/>
            <w:right w:val="none" w:sz="0" w:space="0" w:color="auto"/>
          </w:divBdr>
        </w:div>
        <w:div w:id="682518055">
          <w:marLeft w:val="0"/>
          <w:marRight w:val="0"/>
          <w:marTop w:val="0"/>
          <w:marBottom w:val="0"/>
          <w:divBdr>
            <w:top w:val="none" w:sz="0" w:space="0" w:color="auto"/>
            <w:left w:val="none" w:sz="0" w:space="0" w:color="auto"/>
            <w:bottom w:val="none" w:sz="0" w:space="0" w:color="auto"/>
            <w:right w:val="none" w:sz="0" w:space="0" w:color="auto"/>
          </w:divBdr>
        </w:div>
      </w:divsChild>
    </w:div>
    <w:div w:id="498816427">
      <w:bodyDiv w:val="1"/>
      <w:marLeft w:val="0"/>
      <w:marRight w:val="0"/>
      <w:marTop w:val="0"/>
      <w:marBottom w:val="0"/>
      <w:divBdr>
        <w:top w:val="none" w:sz="0" w:space="0" w:color="auto"/>
        <w:left w:val="none" w:sz="0" w:space="0" w:color="auto"/>
        <w:bottom w:val="none" w:sz="0" w:space="0" w:color="auto"/>
        <w:right w:val="none" w:sz="0" w:space="0" w:color="auto"/>
      </w:divBdr>
    </w:div>
    <w:div w:id="554312557">
      <w:bodyDiv w:val="1"/>
      <w:marLeft w:val="0"/>
      <w:marRight w:val="0"/>
      <w:marTop w:val="0"/>
      <w:marBottom w:val="0"/>
      <w:divBdr>
        <w:top w:val="none" w:sz="0" w:space="0" w:color="auto"/>
        <w:left w:val="none" w:sz="0" w:space="0" w:color="auto"/>
        <w:bottom w:val="none" w:sz="0" w:space="0" w:color="auto"/>
        <w:right w:val="none" w:sz="0" w:space="0" w:color="auto"/>
      </w:divBdr>
    </w:div>
    <w:div w:id="625893168">
      <w:bodyDiv w:val="1"/>
      <w:marLeft w:val="0"/>
      <w:marRight w:val="0"/>
      <w:marTop w:val="0"/>
      <w:marBottom w:val="0"/>
      <w:divBdr>
        <w:top w:val="none" w:sz="0" w:space="0" w:color="auto"/>
        <w:left w:val="none" w:sz="0" w:space="0" w:color="auto"/>
        <w:bottom w:val="none" w:sz="0" w:space="0" w:color="auto"/>
        <w:right w:val="none" w:sz="0" w:space="0" w:color="auto"/>
      </w:divBdr>
    </w:div>
    <w:div w:id="898058046">
      <w:bodyDiv w:val="1"/>
      <w:marLeft w:val="0"/>
      <w:marRight w:val="0"/>
      <w:marTop w:val="0"/>
      <w:marBottom w:val="0"/>
      <w:divBdr>
        <w:top w:val="none" w:sz="0" w:space="0" w:color="auto"/>
        <w:left w:val="none" w:sz="0" w:space="0" w:color="auto"/>
        <w:bottom w:val="none" w:sz="0" w:space="0" w:color="auto"/>
        <w:right w:val="none" w:sz="0" w:space="0" w:color="auto"/>
      </w:divBdr>
    </w:div>
    <w:div w:id="1216505112">
      <w:bodyDiv w:val="1"/>
      <w:marLeft w:val="0"/>
      <w:marRight w:val="0"/>
      <w:marTop w:val="0"/>
      <w:marBottom w:val="0"/>
      <w:divBdr>
        <w:top w:val="none" w:sz="0" w:space="0" w:color="auto"/>
        <w:left w:val="none" w:sz="0" w:space="0" w:color="auto"/>
        <w:bottom w:val="none" w:sz="0" w:space="0" w:color="auto"/>
        <w:right w:val="none" w:sz="0" w:space="0" w:color="auto"/>
      </w:divBdr>
    </w:div>
    <w:div w:id="1648776197">
      <w:bodyDiv w:val="1"/>
      <w:marLeft w:val="0"/>
      <w:marRight w:val="0"/>
      <w:marTop w:val="0"/>
      <w:marBottom w:val="0"/>
      <w:divBdr>
        <w:top w:val="none" w:sz="0" w:space="0" w:color="auto"/>
        <w:left w:val="none" w:sz="0" w:space="0" w:color="auto"/>
        <w:bottom w:val="none" w:sz="0" w:space="0" w:color="auto"/>
        <w:right w:val="none" w:sz="0" w:space="0" w:color="auto"/>
      </w:divBdr>
    </w:div>
    <w:div w:id="1891766206">
      <w:bodyDiv w:val="1"/>
      <w:marLeft w:val="0"/>
      <w:marRight w:val="0"/>
      <w:marTop w:val="0"/>
      <w:marBottom w:val="0"/>
      <w:divBdr>
        <w:top w:val="none" w:sz="0" w:space="0" w:color="auto"/>
        <w:left w:val="none" w:sz="0" w:space="0" w:color="auto"/>
        <w:bottom w:val="none" w:sz="0" w:space="0" w:color="auto"/>
        <w:right w:val="none" w:sz="0" w:space="0" w:color="auto"/>
      </w:divBdr>
    </w:div>
    <w:div w:id="19427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1443</Words>
  <Characters>8230</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SlovakAid</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Zuzana Palosova</dc:creator>
  <cp:lastModifiedBy>Marta Jašureková</cp:lastModifiedBy>
  <cp:revision>3</cp:revision>
  <dcterms:created xsi:type="dcterms:W3CDTF">2023-02-02T13:54:00Z</dcterms:created>
  <dcterms:modified xsi:type="dcterms:W3CDTF">2023-02-02T13:56:00Z</dcterms:modified>
</cp:coreProperties>
</file>