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0F85A" w14:textId="77777777" w:rsidR="00284C0F" w:rsidRDefault="00284C0F" w:rsidP="0044196A">
      <w:pPr>
        <w:shd w:val="clear" w:color="auto" w:fill="DEEAF6" w:themeFill="accent1" w:themeFillTint="33"/>
        <w:tabs>
          <w:tab w:val="center" w:pos="4890"/>
        </w:tabs>
        <w:jc w:val="center"/>
        <w:rPr>
          <w:b/>
          <w:bCs/>
          <w:sz w:val="24"/>
          <w:szCs w:val="24"/>
        </w:rPr>
      </w:pPr>
      <w:r>
        <w:rPr>
          <w:b/>
          <w:bCs/>
          <w:sz w:val="24"/>
          <w:szCs w:val="24"/>
        </w:rPr>
        <w:t>Často kladené otázky</w:t>
      </w:r>
    </w:p>
    <w:p w14:paraId="0BC45BF5" w14:textId="2B5C813F" w:rsidR="00DA0D47" w:rsidRPr="00DA0D47" w:rsidRDefault="002E5494" w:rsidP="00DA0D47">
      <w:pPr>
        <w:shd w:val="clear" w:color="auto" w:fill="DEEAF6" w:themeFill="accent1" w:themeFillTint="33"/>
        <w:tabs>
          <w:tab w:val="center" w:pos="4890"/>
        </w:tabs>
        <w:jc w:val="center"/>
        <w:rPr>
          <w:b/>
          <w:bCs/>
          <w:sz w:val="24"/>
          <w:szCs w:val="24"/>
        </w:rPr>
      </w:pPr>
      <w:r>
        <w:rPr>
          <w:b/>
          <w:bCs/>
          <w:sz w:val="24"/>
          <w:szCs w:val="24"/>
        </w:rPr>
        <w:t>Dobrovoľnícke projekty</w:t>
      </w:r>
      <w:r w:rsidR="00DA0D47" w:rsidRPr="00DA0D47">
        <w:rPr>
          <w:b/>
          <w:bCs/>
          <w:sz w:val="24"/>
          <w:szCs w:val="24"/>
        </w:rPr>
        <w:t xml:space="preserve"> </w:t>
      </w:r>
    </w:p>
    <w:p w14:paraId="5C5BB9FD" w14:textId="77777777" w:rsidR="00597AC6" w:rsidRDefault="00597AC6" w:rsidP="00597AC6">
      <w:pPr>
        <w:shd w:val="clear" w:color="auto" w:fill="FFFFFF" w:themeFill="background1"/>
        <w:spacing w:before="120" w:after="120" w:line="240" w:lineRule="auto"/>
        <w:jc w:val="both"/>
        <w:rPr>
          <w:rFonts w:cstheme="minorHAnsi"/>
          <w:color w:val="1F4E79" w:themeColor="accent1" w:themeShade="80"/>
        </w:rPr>
      </w:pPr>
    </w:p>
    <w:p w14:paraId="45FB0809" w14:textId="123D67C4" w:rsidR="00DA0D47" w:rsidRDefault="002E5494" w:rsidP="002E5494">
      <w:pPr>
        <w:pStyle w:val="Odsekzoznamu"/>
        <w:numPr>
          <w:ilvl w:val="0"/>
          <w:numId w:val="1"/>
        </w:numPr>
        <w:spacing w:after="0"/>
        <w:jc w:val="both"/>
        <w:rPr>
          <w:rFonts w:ascii="Calibri" w:hAnsi="Calibri" w:cs="Calibri"/>
          <w:b/>
          <w:bCs/>
        </w:rPr>
      </w:pPr>
      <w:r w:rsidRPr="002E5494">
        <w:rPr>
          <w:rFonts w:ascii="Calibri" w:hAnsi="Calibri" w:cs="Calibri"/>
          <w:b/>
          <w:bCs/>
        </w:rPr>
        <w:t>Ktoré subjekty sú oprávnené podať žiadosť o dobrovoľnícky projekt?</w:t>
      </w:r>
    </w:p>
    <w:p w14:paraId="65A21A3D" w14:textId="30EDA65D" w:rsidR="002E5494" w:rsidRPr="00DA0D47" w:rsidRDefault="002E5494" w:rsidP="00DA0D47">
      <w:pPr>
        <w:spacing w:before="120" w:after="120" w:line="240" w:lineRule="auto"/>
        <w:jc w:val="both"/>
        <w:rPr>
          <w:rFonts w:cstheme="minorHAnsi"/>
          <w:color w:val="1F4E79" w:themeColor="accent1" w:themeShade="80"/>
        </w:rPr>
      </w:pPr>
      <w:r w:rsidRPr="002E5494">
        <w:rPr>
          <w:rFonts w:cstheme="minorHAnsi"/>
          <w:color w:val="1F4E79" w:themeColor="accent1" w:themeShade="80"/>
        </w:rPr>
        <w:t>Oprávnené podať žiadosť sú rozpočtové organizácie a ich zriadenia, príspevkové organizácie, neziskový sektor/mimovládne organizácie (všetky občianske združenia a neziskové organizácie poskytujúce verejnoprospešné služby, nadácie a iné právnické osoby, ktoré nie sú zapojené na štátny rozpočet a ktoré nie sú zriadené na podnikanie). Oprávnený dátum vzniku žiadateľa z neziskového sektora je zverejnený v príslušnej výzve. Žiadateľ z neziskového sektora musí byť poskytovateľom verejnoprospešných služieb v zmysle zákona o poskytovaní verejnoprospešných služieb najneskôr ku dňu podania žiadosti o dotáciu.</w:t>
      </w:r>
    </w:p>
    <w:p w14:paraId="4DD6AE41" w14:textId="6C90FC15" w:rsidR="00DA0D47" w:rsidRPr="00DA0D47" w:rsidRDefault="002E5494" w:rsidP="002E5494">
      <w:pPr>
        <w:pStyle w:val="Odsekzoznamu"/>
        <w:numPr>
          <w:ilvl w:val="0"/>
          <w:numId w:val="1"/>
        </w:numPr>
        <w:spacing w:after="0"/>
        <w:jc w:val="both"/>
        <w:rPr>
          <w:rFonts w:ascii="Calibri" w:hAnsi="Calibri" w:cs="Calibri"/>
          <w:b/>
          <w:bCs/>
        </w:rPr>
      </w:pPr>
      <w:r w:rsidRPr="002E5494">
        <w:rPr>
          <w:rFonts w:ascii="Calibri" w:hAnsi="Calibri" w:cs="Calibri"/>
          <w:b/>
          <w:bCs/>
        </w:rPr>
        <w:t>Akým spôsobom sa podáva žiadosť o dotáciu?</w:t>
      </w:r>
    </w:p>
    <w:p w14:paraId="0C727FBC" w14:textId="77777777" w:rsidR="002E5494" w:rsidRPr="002E5494" w:rsidRDefault="002E5494" w:rsidP="002E5494">
      <w:pPr>
        <w:spacing w:before="120" w:after="120" w:line="240" w:lineRule="auto"/>
        <w:jc w:val="both"/>
        <w:rPr>
          <w:rFonts w:cstheme="minorHAnsi"/>
          <w:color w:val="1F4E79" w:themeColor="accent1" w:themeShade="80"/>
        </w:rPr>
      </w:pPr>
      <w:r w:rsidRPr="002E5494">
        <w:rPr>
          <w:rFonts w:cstheme="minorHAnsi"/>
          <w:color w:val="1F4E79" w:themeColor="accent1" w:themeShade="80"/>
        </w:rPr>
        <w:t xml:space="preserve">Žiadateľ zasiela žiadosť o dotáciu spolu s povinnými prílohami: </w:t>
      </w:r>
    </w:p>
    <w:p w14:paraId="1F9B186E" w14:textId="77777777" w:rsidR="002E5494" w:rsidRPr="00CB448E" w:rsidRDefault="002E5494" w:rsidP="002E5494">
      <w:pPr>
        <w:spacing w:before="120" w:after="120" w:line="240" w:lineRule="auto"/>
        <w:jc w:val="both"/>
        <w:rPr>
          <w:rFonts w:cstheme="minorHAnsi"/>
          <w:color w:val="1F4E79" w:themeColor="accent1" w:themeShade="80"/>
          <w:u w:val="single"/>
        </w:rPr>
      </w:pPr>
      <w:r w:rsidRPr="00CB448E">
        <w:rPr>
          <w:rFonts w:cstheme="minorHAnsi"/>
          <w:color w:val="1F4E79" w:themeColor="accent1" w:themeShade="80"/>
          <w:u w:val="single"/>
        </w:rPr>
        <w:t xml:space="preserve">1. v listinnej podobe jedným z nasledujúcich spôsobov: </w:t>
      </w:r>
    </w:p>
    <w:p w14:paraId="1C04F23B" w14:textId="77777777" w:rsidR="002E5494" w:rsidRPr="002E5494" w:rsidRDefault="002E5494" w:rsidP="002E5494">
      <w:pPr>
        <w:spacing w:before="120" w:after="120" w:line="240" w:lineRule="auto"/>
        <w:jc w:val="both"/>
        <w:rPr>
          <w:rFonts w:cstheme="minorHAnsi"/>
          <w:color w:val="1F4E79" w:themeColor="accent1" w:themeShade="80"/>
        </w:rPr>
      </w:pPr>
      <w:r w:rsidRPr="002E5494">
        <w:rPr>
          <w:rFonts w:cstheme="minorHAnsi"/>
          <w:color w:val="1F4E79" w:themeColor="accent1" w:themeShade="80"/>
        </w:rPr>
        <w:t xml:space="preserve">a) na adresu SAMRS (osobne na sekretariát SAMRS do 14.00 hod. posledného dňa výzvy alebo doporučenou poštou, pričom rozhodujúci je dátum poštovej pečiatky, resp. dátum prevzatia zásielky kuriérom), alebo </w:t>
      </w:r>
    </w:p>
    <w:p w14:paraId="04CD72BE" w14:textId="77777777" w:rsidR="002E5494" w:rsidRPr="002E5494" w:rsidRDefault="002E5494" w:rsidP="002E5494">
      <w:pPr>
        <w:spacing w:before="120" w:after="120" w:line="240" w:lineRule="auto"/>
        <w:jc w:val="both"/>
        <w:rPr>
          <w:rFonts w:cstheme="minorHAnsi"/>
          <w:color w:val="1F4E79" w:themeColor="accent1" w:themeShade="80"/>
        </w:rPr>
      </w:pPr>
      <w:r w:rsidRPr="002E5494">
        <w:rPr>
          <w:rFonts w:cstheme="minorHAnsi"/>
          <w:color w:val="1F4E79" w:themeColor="accent1" w:themeShade="80"/>
        </w:rPr>
        <w:t xml:space="preserve">b) do elektronickej schránky SAMRS prostredníctvom Ústredného portálu verejnej správy, podpísanú kvalifikovaným elektronickým podpisom, s mandátnym certifikátom alebo kvalifikovanou elektronickou pečaťou. </w:t>
      </w:r>
    </w:p>
    <w:p w14:paraId="58B78411" w14:textId="77777777" w:rsidR="002E5494" w:rsidRPr="002E5494" w:rsidRDefault="002E5494" w:rsidP="002E5494">
      <w:pPr>
        <w:spacing w:before="120" w:after="120" w:line="240" w:lineRule="auto"/>
        <w:jc w:val="both"/>
        <w:rPr>
          <w:rFonts w:cstheme="minorHAnsi"/>
          <w:b/>
          <w:color w:val="1F4E79" w:themeColor="accent1" w:themeShade="80"/>
          <w:u w:val="single"/>
        </w:rPr>
      </w:pPr>
      <w:r w:rsidRPr="002E5494">
        <w:rPr>
          <w:rFonts w:cstheme="minorHAnsi"/>
          <w:b/>
          <w:color w:val="1F4E79" w:themeColor="accent1" w:themeShade="80"/>
          <w:u w:val="single"/>
        </w:rPr>
        <w:t xml:space="preserve">Žiadateľ je povinný žiadosť predložiť aj </w:t>
      </w:r>
    </w:p>
    <w:p w14:paraId="13525DFD" w14:textId="77777777" w:rsidR="002E5494" w:rsidRPr="00CB448E" w:rsidRDefault="002E5494" w:rsidP="002E5494">
      <w:pPr>
        <w:spacing w:before="120" w:after="120" w:line="240" w:lineRule="auto"/>
        <w:jc w:val="both"/>
        <w:rPr>
          <w:rFonts w:cstheme="minorHAnsi"/>
          <w:color w:val="1F4E79" w:themeColor="accent1" w:themeShade="80"/>
          <w:u w:val="single"/>
        </w:rPr>
      </w:pPr>
      <w:r w:rsidRPr="00CB448E">
        <w:rPr>
          <w:rFonts w:cstheme="minorHAnsi"/>
          <w:color w:val="1F4E79" w:themeColor="accent1" w:themeShade="80"/>
          <w:u w:val="single"/>
        </w:rPr>
        <w:t xml:space="preserve">2. elektronicky prostredníctvom Grant management systému najneskôr do termínu uvedeného vo výzve. </w:t>
      </w:r>
    </w:p>
    <w:p w14:paraId="174A3FF7" w14:textId="59EC7645" w:rsidR="002E5494" w:rsidRDefault="002E5494" w:rsidP="002E5494">
      <w:pPr>
        <w:spacing w:before="120" w:after="120" w:line="240" w:lineRule="auto"/>
        <w:jc w:val="both"/>
        <w:rPr>
          <w:rFonts w:cstheme="minorHAnsi"/>
          <w:color w:val="1F4E79" w:themeColor="accent1" w:themeShade="80"/>
        </w:rPr>
      </w:pPr>
      <w:r w:rsidRPr="002E5494">
        <w:rPr>
          <w:rFonts w:cstheme="minorHAnsi"/>
          <w:color w:val="1F4E79" w:themeColor="accent1" w:themeShade="80"/>
        </w:rPr>
        <w:t xml:space="preserve">Žiadateľ je povinný predložiť žiadosť riadne, včas a vo forme určenej SAMRS. Pri predkladaní žiadosti a povinných príloh je žiadateľ povinný použiť formuláre zverejnené v rámci výzvy. Predloženie povinných príloh v tlačenej forme ku žiadosti o dotáciu vyplýva z § 8a Zákona č. 523/2004 </w:t>
      </w:r>
      <w:proofErr w:type="spellStart"/>
      <w:r w:rsidRPr="002E5494">
        <w:rPr>
          <w:rFonts w:cstheme="minorHAnsi"/>
          <w:color w:val="1F4E79" w:themeColor="accent1" w:themeShade="80"/>
        </w:rPr>
        <w:t>Z.z</w:t>
      </w:r>
      <w:proofErr w:type="spellEnd"/>
      <w:r w:rsidRPr="002E5494">
        <w:rPr>
          <w:rFonts w:cstheme="minorHAnsi"/>
          <w:color w:val="1F4E79" w:themeColor="accent1" w:themeShade="80"/>
        </w:rPr>
        <w:t>. o rozpočtových pravidlách verejnej správy a o zmene a doplnení niektorých zákonov.</w:t>
      </w:r>
    </w:p>
    <w:p w14:paraId="39E456C5" w14:textId="77777777" w:rsidR="00DA0D47" w:rsidRPr="00DA0D47" w:rsidRDefault="00DA0D47" w:rsidP="00DA0D47">
      <w:pPr>
        <w:spacing w:before="120" w:after="0" w:line="240" w:lineRule="auto"/>
        <w:jc w:val="both"/>
        <w:rPr>
          <w:rFonts w:cstheme="minorHAnsi"/>
          <w:color w:val="1F4E79" w:themeColor="accent1" w:themeShade="80"/>
        </w:rPr>
      </w:pPr>
    </w:p>
    <w:p w14:paraId="07E1A760" w14:textId="73D1D880" w:rsidR="00DA0D47" w:rsidRPr="00DA0D47" w:rsidRDefault="002E5494" w:rsidP="002E5494">
      <w:pPr>
        <w:pStyle w:val="Odsekzoznamu"/>
        <w:numPr>
          <w:ilvl w:val="0"/>
          <w:numId w:val="1"/>
        </w:numPr>
        <w:spacing w:after="0"/>
        <w:jc w:val="both"/>
        <w:rPr>
          <w:rFonts w:ascii="Calibri" w:hAnsi="Calibri" w:cs="Calibri"/>
          <w:b/>
          <w:bCs/>
        </w:rPr>
      </w:pPr>
      <w:r w:rsidRPr="002E5494">
        <w:rPr>
          <w:rFonts w:ascii="Calibri" w:hAnsi="Calibri" w:cs="Calibri"/>
          <w:b/>
          <w:bCs/>
        </w:rPr>
        <w:t>Môže jeden žiadateľ podať žiadosť o dotáciu na dobrovoľnícke/expertné vyslania viacerých dobrovoľníčok/dobrovoľníkov alebo expertiek - dobrovoľníčok/expertov - dobrovoľníkov?</w:t>
      </w:r>
    </w:p>
    <w:p w14:paraId="5A5BEEFD" w14:textId="635A7E78" w:rsidR="00DA0D47" w:rsidRPr="00DA0D47" w:rsidRDefault="002E5494" w:rsidP="00EA5AC4">
      <w:pPr>
        <w:spacing w:before="120" w:after="120" w:line="240" w:lineRule="auto"/>
        <w:jc w:val="both"/>
        <w:rPr>
          <w:rFonts w:cstheme="minorHAnsi"/>
          <w:color w:val="1F4E79" w:themeColor="accent1" w:themeShade="80"/>
        </w:rPr>
      </w:pPr>
      <w:r w:rsidRPr="002E5494">
        <w:rPr>
          <w:rFonts w:cstheme="minorHAnsi"/>
          <w:color w:val="1F4E79" w:themeColor="accent1" w:themeShade="80"/>
        </w:rPr>
        <w:t>Pre vyslanie jednej/-</w:t>
      </w:r>
      <w:proofErr w:type="spellStart"/>
      <w:r w:rsidRPr="002E5494">
        <w:rPr>
          <w:rFonts w:cstheme="minorHAnsi"/>
          <w:color w:val="1F4E79" w:themeColor="accent1" w:themeShade="80"/>
        </w:rPr>
        <w:t>ého</w:t>
      </w:r>
      <w:proofErr w:type="spellEnd"/>
      <w:r w:rsidRPr="002E5494">
        <w:rPr>
          <w:rFonts w:cstheme="minorHAnsi"/>
          <w:color w:val="1F4E79" w:themeColor="accent1" w:themeShade="80"/>
        </w:rPr>
        <w:t xml:space="preserve"> dobrovoľníčky/dobrovoľníka alebo expertky - dobrovoľníčky/experta - dobrovoľníka žiadateľ o dotáciu podáva iba jednu projektovú žiadosť vrátane jednej sady všetkých povinných príloh ku žiadosti. V prípade, ak žiadateľ žiada o poskytnutie dotácie na dobrovoľnícke/expertné vyslania viacerých dobrovoľníčok/dobrovoľníkov alebo expertiek - dobrovoľníčok/expertov - dobrovoľníkov a/alebo vo viacerých krajinách, je potrebné vyplniť samostatný formulár projektového dokumentu zvlášť pre každý dobrovoľnícky/expertný projekt.</w:t>
      </w:r>
    </w:p>
    <w:p w14:paraId="13EC39C1" w14:textId="74D22F41" w:rsidR="00DA0D47" w:rsidRPr="00DA0D47" w:rsidRDefault="002E5494" w:rsidP="002E5494">
      <w:pPr>
        <w:pStyle w:val="Odsekzoznamu"/>
        <w:numPr>
          <w:ilvl w:val="0"/>
          <w:numId w:val="1"/>
        </w:numPr>
        <w:spacing w:after="0"/>
        <w:jc w:val="both"/>
        <w:rPr>
          <w:rFonts w:ascii="Calibri" w:hAnsi="Calibri" w:cs="Calibri"/>
          <w:b/>
          <w:bCs/>
        </w:rPr>
      </w:pPr>
      <w:r w:rsidRPr="002E5494">
        <w:rPr>
          <w:rFonts w:ascii="Calibri" w:hAnsi="Calibri" w:cs="Calibri"/>
          <w:b/>
          <w:bCs/>
        </w:rPr>
        <w:t>Ako postupovať v prípade nepodpísania žiadosti o dotáciu štatutárnym zástupcom inštitúcie?</w:t>
      </w:r>
    </w:p>
    <w:p w14:paraId="3730A4A0" w14:textId="652BBE61" w:rsidR="004B53FB" w:rsidRDefault="002E5494" w:rsidP="00DA0D47">
      <w:pPr>
        <w:spacing w:before="120" w:after="120" w:line="240" w:lineRule="auto"/>
        <w:jc w:val="both"/>
        <w:rPr>
          <w:rFonts w:cstheme="minorHAnsi"/>
          <w:color w:val="1F4E79" w:themeColor="accent1" w:themeShade="80"/>
        </w:rPr>
      </w:pPr>
      <w:r w:rsidRPr="002E5494">
        <w:rPr>
          <w:rFonts w:cstheme="minorHAnsi"/>
          <w:color w:val="1F4E79" w:themeColor="accent1" w:themeShade="80"/>
        </w:rPr>
        <w:t>V prípade, ak bude žiadosť podpisovať splnomocnená osoba na základe splnomocnenia štatutárneho zástupcu žiadateľa, je potrebné spolu so žiadosťou doložiť úradne overené Splnomocnenie na podpis žiadosti.</w:t>
      </w:r>
    </w:p>
    <w:p w14:paraId="60285C59" w14:textId="2B11D99A" w:rsidR="004B53FB" w:rsidRPr="004B53FB" w:rsidRDefault="002E5494" w:rsidP="002E5494">
      <w:pPr>
        <w:pStyle w:val="Odsekzoznamu"/>
        <w:numPr>
          <w:ilvl w:val="0"/>
          <w:numId w:val="1"/>
        </w:numPr>
        <w:spacing w:after="0"/>
        <w:jc w:val="both"/>
        <w:rPr>
          <w:rFonts w:ascii="Calibri" w:hAnsi="Calibri" w:cs="Calibri"/>
          <w:b/>
          <w:bCs/>
        </w:rPr>
      </w:pPr>
      <w:r w:rsidRPr="002E5494">
        <w:rPr>
          <w:rFonts w:ascii="Calibri" w:hAnsi="Calibri" w:cs="Calibri"/>
          <w:b/>
          <w:bCs/>
        </w:rPr>
        <w:lastRenderedPageBreak/>
        <w:t>Aká je oprávnená dĺžka realizácie dobrovoľníckeho projektu?</w:t>
      </w:r>
    </w:p>
    <w:p w14:paraId="18B0142C" w14:textId="57AA045F" w:rsidR="002E5494" w:rsidRPr="002E5494" w:rsidRDefault="002E5494" w:rsidP="00535FE6">
      <w:pPr>
        <w:spacing w:before="120" w:after="120" w:line="240" w:lineRule="auto"/>
        <w:jc w:val="both"/>
        <w:rPr>
          <w:rFonts w:cstheme="minorHAnsi"/>
          <w:color w:val="1F4E79" w:themeColor="accent1" w:themeShade="80"/>
        </w:rPr>
      </w:pPr>
      <w:r w:rsidRPr="002E5494">
        <w:rPr>
          <w:rFonts w:cstheme="minorHAnsi"/>
          <w:color w:val="1F4E79" w:themeColor="accent1" w:themeShade="80"/>
        </w:rPr>
        <w:t>Doba realizácie dobrovoľníckeho pobytu je od 3 do 12 mesiacov. V prípade expertného pobytu je doba realizácie projektu od 1 do 3 mesiacov.</w:t>
      </w:r>
    </w:p>
    <w:p w14:paraId="0D90AC00" w14:textId="1EC0D7F2" w:rsidR="004B53FB" w:rsidRPr="004B53FB" w:rsidRDefault="002E5494" w:rsidP="002E5494">
      <w:pPr>
        <w:pStyle w:val="Odsekzoznamu"/>
        <w:numPr>
          <w:ilvl w:val="0"/>
          <w:numId w:val="1"/>
        </w:numPr>
        <w:spacing w:after="0"/>
        <w:jc w:val="both"/>
        <w:rPr>
          <w:rFonts w:ascii="Calibri" w:hAnsi="Calibri" w:cs="Calibri"/>
          <w:b/>
          <w:bCs/>
        </w:rPr>
      </w:pPr>
      <w:r w:rsidRPr="002E5494">
        <w:rPr>
          <w:rFonts w:ascii="Calibri" w:hAnsi="Calibri" w:cs="Calibri"/>
          <w:b/>
          <w:bCs/>
        </w:rPr>
        <w:t>Kto sa môže zúčastniť dobrovoľníckeho projektu?</w:t>
      </w:r>
    </w:p>
    <w:p w14:paraId="292B0B9C" w14:textId="34D04B99" w:rsidR="002E5494" w:rsidRPr="00DA0D47" w:rsidRDefault="002E5494" w:rsidP="00DA0D47">
      <w:pPr>
        <w:spacing w:before="120" w:after="120" w:line="240" w:lineRule="auto"/>
        <w:jc w:val="both"/>
        <w:rPr>
          <w:rFonts w:cstheme="minorHAnsi"/>
          <w:color w:val="1F4E79" w:themeColor="accent1" w:themeShade="80"/>
        </w:rPr>
      </w:pPr>
      <w:r w:rsidRPr="002E5494">
        <w:rPr>
          <w:rFonts w:cstheme="minorHAnsi"/>
          <w:color w:val="1F4E79" w:themeColor="accent1" w:themeShade="80"/>
        </w:rPr>
        <w:t>SAMRS podporuje vysielanie dobrovoľníčok/dobrovoľníkov a expertiek – dobrovoľníčok/expertov - dobrovoľníkov starších ako 18 rokov, ktorí majú slovenskú štátnu príslušnosť. Žiadateľ má však možnosť stanoviť si ďalšie vlastné požiadavky na výber dobrovoľníčky/dobrovoľníka a expertky – dobrovoľníčky/experta - dobrovoľníka. Výber je v plnej odbornej kompetencií a zodpovednosti žiadateľa. Pri výbere a stanovení vlastných požiadaviek žiadateľom odporúčame vhodné zváženie situácie v krajine vyslania, napr. bezpečnosť a zdravotné podmienky.</w:t>
      </w:r>
    </w:p>
    <w:p w14:paraId="3600876E" w14:textId="5DA1EBBB" w:rsidR="00641C92" w:rsidRDefault="002E5494" w:rsidP="002E5494">
      <w:pPr>
        <w:pStyle w:val="Odsekzoznamu"/>
        <w:numPr>
          <w:ilvl w:val="0"/>
          <w:numId w:val="1"/>
        </w:numPr>
        <w:spacing w:after="0" w:line="240" w:lineRule="auto"/>
        <w:rPr>
          <w:rFonts w:ascii="Calibri" w:hAnsi="Calibri" w:cs="Calibri"/>
          <w:b/>
        </w:rPr>
      </w:pPr>
      <w:r w:rsidRPr="002E5494">
        <w:rPr>
          <w:rFonts w:ascii="Calibri" w:hAnsi="Calibri" w:cs="Calibri"/>
          <w:b/>
        </w:rPr>
        <w:t>Naša organizácia by rada vyslala dobrovoľníka na projekt do Nepálu. Bude náš projekt podporený?</w:t>
      </w:r>
    </w:p>
    <w:p w14:paraId="27DD545B" w14:textId="77777777" w:rsidR="00406C0F" w:rsidRPr="00F8671D" w:rsidRDefault="00406C0F" w:rsidP="00406C0F">
      <w:pPr>
        <w:pStyle w:val="Odsekzoznamu"/>
        <w:spacing w:after="0" w:line="240" w:lineRule="auto"/>
        <w:ind w:left="360"/>
        <w:rPr>
          <w:rFonts w:ascii="Calibri" w:hAnsi="Calibri" w:cs="Calibri"/>
          <w:b/>
        </w:rPr>
      </w:pPr>
    </w:p>
    <w:p w14:paraId="4D585197" w14:textId="36E2710B" w:rsidR="00641C92" w:rsidRPr="00F8671D" w:rsidRDefault="002E5494" w:rsidP="00641C92">
      <w:pPr>
        <w:spacing w:after="0" w:line="240" w:lineRule="auto"/>
        <w:jc w:val="both"/>
        <w:rPr>
          <w:rFonts w:ascii="Calibri" w:hAnsi="Calibri" w:cs="Calibri"/>
          <w:b/>
        </w:rPr>
      </w:pPr>
      <w:r w:rsidRPr="002E5494">
        <w:rPr>
          <w:rFonts w:ascii="Calibri" w:hAnsi="Calibri" w:cs="Calibri"/>
          <w:bCs/>
          <w:color w:val="1F4E79" w:themeColor="accent1" w:themeShade="80"/>
        </w:rPr>
        <w:t>Základom je mať napísaný kvalitný projekt, ktorý berie do úvahy ciele stanovené v strategických dokumentoch, ktorými sa riadi ODA SR. V rámci výzvy by sa mali žiadosti o poskytnutie dotácie sústrediť prevažne na krajiny teritoriálneho zamerania ODA SR, aby sa dosiahla efektivita a koherentnosť poskytovanej pomoci. V opodstatnených a zdôvodniteľných prípadoch to môžu byť aj ďalšie krajiny zo zoznamu Výboru pre rozvojovú pomoc Organizácie pre hospodársku spoluprácu a rozvoj (DAC/OECD).</w:t>
      </w:r>
      <w:r w:rsidR="00641C92" w:rsidRPr="00F8671D">
        <w:rPr>
          <w:rFonts w:ascii="Calibri" w:hAnsi="Calibri" w:cs="Calibri"/>
          <w:bCs/>
          <w:color w:val="1F4E79" w:themeColor="accent1" w:themeShade="80"/>
        </w:rPr>
        <w:t xml:space="preserve">     </w:t>
      </w:r>
    </w:p>
    <w:p w14:paraId="503EE466" w14:textId="77777777" w:rsidR="00641C92" w:rsidRPr="00535FE6" w:rsidRDefault="00641C92" w:rsidP="00641C92">
      <w:pPr>
        <w:spacing w:after="0" w:line="240" w:lineRule="auto"/>
        <w:jc w:val="both"/>
        <w:rPr>
          <w:rFonts w:ascii="Calibri" w:hAnsi="Calibri" w:cs="Calibri"/>
        </w:rPr>
      </w:pPr>
    </w:p>
    <w:p w14:paraId="04F5C1DF" w14:textId="0CB341BC" w:rsidR="003E5B0D" w:rsidRPr="00535FE6" w:rsidRDefault="002E5494" w:rsidP="002E5494">
      <w:pPr>
        <w:pStyle w:val="Odsekzoznamu"/>
        <w:numPr>
          <w:ilvl w:val="0"/>
          <w:numId w:val="1"/>
        </w:numPr>
        <w:spacing w:after="0" w:line="240" w:lineRule="auto"/>
        <w:contextualSpacing w:val="0"/>
        <w:rPr>
          <w:b/>
        </w:rPr>
      </w:pPr>
      <w:r w:rsidRPr="002E5494">
        <w:rPr>
          <w:b/>
        </w:rPr>
        <w:t>Čo by mala obsahovať zmluva medzi našou organizáciou a našim dobrovoľníkom?</w:t>
      </w:r>
    </w:p>
    <w:p w14:paraId="137B8776" w14:textId="0C708E40" w:rsidR="002E5494" w:rsidRPr="002E5494" w:rsidRDefault="002E5494" w:rsidP="002E5494">
      <w:pPr>
        <w:spacing w:before="120" w:after="120" w:line="240" w:lineRule="auto"/>
        <w:jc w:val="both"/>
        <w:rPr>
          <w:rFonts w:cstheme="minorHAnsi"/>
          <w:color w:val="1F4E79" w:themeColor="accent1" w:themeShade="80"/>
        </w:rPr>
      </w:pPr>
      <w:r>
        <w:rPr>
          <w:color w:val="1F4E79" w:themeColor="accent1" w:themeShade="80"/>
        </w:rPr>
        <w:t xml:space="preserve">Zmluva medzi </w:t>
      </w:r>
      <w:r w:rsidRPr="002E5494">
        <w:rPr>
          <w:rFonts w:cstheme="minorHAnsi"/>
          <w:color w:val="1F4E79" w:themeColor="accent1" w:themeShade="80"/>
        </w:rPr>
        <w:t xml:space="preserve">vysielajúcou organizáciou a dobrovoľníčkou/dobrovoľníkom alebo expertkou - dobrovoľníčkou/expertom - dobrovoľníkom je uzatvorená v zmysle §6 Zákona č.406/2011 Z. z. o dobrovoľníctve o zmene a doplnení niektorých zákonov. </w:t>
      </w:r>
    </w:p>
    <w:p w14:paraId="72C3D314" w14:textId="3F4B5B66" w:rsidR="002E5494" w:rsidRDefault="002E5494" w:rsidP="002E5494">
      <w:pPr>
        <w:spacing w:before="120" w:after="120" w:line="240" w:lineRule="auto"/>
        <w:jc w:val="both"/>
        <w:rPr>
          <w:rFonts w:cstheme="minorHAnsi"/>
          <w:color w:val="1F4E79" w:themeColor="accent1" w:themeShade="80"/>
        </w:rPr>
      </w:pPr>
      <w:r w:rsidRPr="002E5494">
        <w:rPr>
          <w:rFonts w:cstheme="minorHAnsi"/>
          <w:color w:val="1F4E79" w:themeColor="accent1" w:themeShade="80"/>
        </w:rPr>
        <w:t>V rámci zmluvy je zároveň žiaduce časovo vymedziť, kedy prebehne príprava dobrovoľníkov, samotný pobyt a po-návratové aktivity. V rámci zmluvy odporúčame stanoviť aj sankčné podmienky pre prípad, kedy dobrovoľníčka/dobrovoľník alebo expertka-dobrovoľníčka/expert-dobrovoľník svojvoľne nenastúpi na vyslanie. Prijímateľ taktiež určí výšku poskytnutého stravného a ubytovania osobitne pre dobrovoľníčku/dobrovoľníka alebo expertku-dobrovoľníčku/experta-dobrovoľníka v zmluve o dobrovoľníckej/expertnej činnosti uzavretej medzi prijímateľom a dobrovoľníčkou/dobrovoľníkom alebo expertkou-dobrovoľníčkou/expertom</w:t>
      </w:r>
      <w:r w:rsidR="00513E6A">
        <w:rPr>
          <w:rFonts w:cstheme="minorHAnsi"/>
          <w:color w:val="1F4E79" w:themeColor="accent1" w:themeShade="80"/>
        </w:rPr>
        <w:t xml:space="preserve"> - dobrovoľníkom</w:t>
      </w:r>
      <w:r w:rsidRPr="002E5494">
        <w:rPr>
          <w:rFonts w:cstheme="minorHAnsi"/>
          <w:color w:val="1F4E79" w:themeColor="accent1" w:themeShade="80"/>
        </w:rPr>
        <w:t>. Odporúčame uvádzať výšku paušálneho príspevku na stravné a ubytovanie osobitne, vypočítaného na mesiace.</w:t>
      </w:r>
    </w:p>
    <w:p w14:paraId="4B030928" w14:textId="3B51FF0C" w:rsidR="00641C92" w:rsidRPr="00535FE6" w:rsidRDefault="002E5494" w:rsidP="002E5494">
      <w:pPr>
        <w:pStyle w:val="Odsekzoznamu"/>
        <w:numPr>
          <w:ilvl w:val="0"/>
          <w:numId w:val="1"/>
        </w:numPr>
        <w:spacing w:after="0"/>
        <w:jc w:val="both"/>
        <w:rPr>
          <w:rFonts w:cstheme="minorHAnsi"/>
          <w:color w:val="1F4E79" w:themeColor="accent1" w:themeShade="80"/>
        </w:rPr>
      </w:pPr>
      <w:r w:rsidRPr="002E5494">
        <w:rPr>
          <w:rFonts w:ascii="Calibri" w:hAnsi="Calibri" w:cs="Calibri"/>
          <w:b/>
          <w:bCs/>
        </w:rPr>
        <w:t>Aký je rozdiel medzi dobrovoľníckym projektom a vyslaním expertky/experta?</w:t>
      </w:r>
    </w:p>
    <w:p w14:paraId="0E7E98EF" w14:textId="5646FFE7" w:rsidR="002E5494" w:rsidRPr="00535FE6" w:rsidRDefault="002E5494" w:rsidP="00641C92">
      <w:pPr>
        <w:spacing w:before="120" w:after="120" w:line="240" w:lineRule="auto"/>
        <w:jc w:val="both"/>
        <w:rPr>
          <w:rFonts w:cstheme="minorHAnsi"/>
          <w:color w:val="1F4E79" w:themeColor="accent1" w:themeShade="80"/>
        </w:rPr>
      </w:pPr>
      <w:r w:rsidRPr="002E5494">
        <w:rPr>
          <w:rFonts w:cstheme="minorHAnsi"/>
          <w:color w:val="1F4E79" w:themeColor="accent1" w:themeShade="80"/>
        </w:rPr>
        <w:t>Hlavný rozdiel predstavuje odborná spôsobilosť a kompetencie expertky – dobrovoľníčky/experta - dobrovoľníka, ktoré dokáže do projektu priniesť. Pri expertke/expertovi je stanovená požiadavka, že musí mať aspoň 5 rokov profesionálnej praxe, čo sa odzrkadlí na pridanej hodnote, ktorú projekt získa prostredníctvom vstupov expertky/experta. Pri vyslaní expertky/experta je navyše určený vyšší limit na mesačné náklady na mesiac pobytu vo výške 1900 EUR. Takisto žiadateľ je povinný pri expertke – dobrovoľníčke/expertovi - dobrovoľníkovi predložiť originál jej/jeho životopisu už ako prílohu k žiadosti o dotáciu.</w:t>
      </w:r>
    </w:p>
    <w:p w14:paraId="2E2141D5" w14:textId="0ED08F1D" w:rsidR="00641C92" w:rsidRPr="00F8671D" w:rsidRDefault="002E5494" w:rsidP="002E5494">
      <w:pPr>
        <w:pStyle w:val="Odsekzoznamu"/>
        <w:numPr>
          <w:ilvl w:val="0"/>
          <w:numId w:val="1"/>
        </w:numPr>
        <w:spacing w:after="0" w:line="240" w:lineRule="auto"/>
        <w:rPr>
          <w:b/>
        </w:rPr>
      </w:pPr>
      <w:r w:rsidRPr="002E5494">
        <w:rPr>
          <w:b/>
        </w:rPr>
        <w:t>Aká je maximálna výška dotácie na vyslanie dobrovoľníčky/dobrovoľníka?</w:t>
      </w:r>
    </w:p>
    <w:p w14:paraId="5E98BE1E" w14:textId="77777777" w:rsidR="006D4194" w:rsidRDefault="006D4194" w:rsidP="00641C92">
      <w:pPr>
        <w:spacing w:after="0" w:line="240" w:lineRule="auto"/>
        <w:jc w:val="both"/>
        <w:rPr>
          <w:color w:val="1F4E79" w:themeColor="accent1" w:themeShade="80"/>
        </w:rPr>
      </w:pPr>
    </w:p>
    <w:p w14:paraId="22BDD12C" w14:textId="739313AD" w:rsidR="002E5494" w:rsidRPr="00F8671D" w:rsidRDefault="002E5494" w:rsidP="00CA1186">
      <w:pPr>
        <w:spacing w:after="0" w:line="240" w:lineRule="auto"/>
        <w:jc w:val="both"/>
        <w:rPr>
          <w:rFonts w:ascii="Arial" w:eastAsia="Times New Roman" w:hAnsi="Arial" w:cs="Arial"/>
          <w:i/>
          <w:color w:val="1F4E79" w:themeColor="accent1" w:themeShade="80"/>
          <w:sz w:val="20"/>
          <w:szCs w:val="20"/>
          <w:lang w:eastAsia="cs-CZ"/>
        </w:rPr>
      </w:pPr>
      <w:r w:rsidRPr="002E5494">
        <w:rPr>
          <w:color w:val="1F4E79" w:themeColor="accent1" w:themeShade="80"/>
        </w:rPr>
        <w:lastRenderedPageBreak/>
        <w:t>Maximálny limit na mesiac vyslania dobrovoľníčky/dobrovoľníka predstavuje 1 500 EUR a pokrýva všetky náklady projektu. Maximálna výška dotácie na vyslanie dobrovoľníčky/dobrovoľníka (v prípade 12 mesačného vyslania) tak predstavuje 18 000 EUR.</w:t>
      </w:r>
      <w:r w:rsidR="00CA1186">
        <w:rPr>
          <w:rFonts w:ascii="Arial" w:eastAsia="Times New Roman" w:hAnsi="Arial" w:cs="Arial"/>
          <w:i/>
          <w:color w:val="1F4E79" w:themeColor="accent1" w:themeShade="80"/>
          <w:sz w:val="20"/>
          <w:szCs w:val="20"/>
          <w:lang w:eastAsia="cs-CZ"/>
        </w:rPr>
        <w:t xml:space="preserve"> </w:t>
      </w:r>
    </w:p>
    <w:p w14:paraId="68C601AB" w14:textId="77777777" w:rsidR="00641C92" w:rsidRPr="00F8671D" w:rsidRDefault="00641C92" w:rsidP="00641C92">
      <w:pPr>
        <w:pStyle w:val="Odsekzoznamu"/>
        <w:spacing w:after="0" w:line="240" w:lineRule="auto"/>
        <w:ind w:left="360"/>
        <w:rPr>
          <w:color w:val="1F4E79" w:themeColor="accent1" w:themeShade="80"/>
        </w:rPr>
      </w:pPr>
    </w:p>
    <w:p w14:paraId="0F3AFC94" w14:textId="3963BC1C" w:rsidR="00641C92" w:rsidRPr="00F8671D" w:rsidRDefault="00CA1186" w:rsidP="00CA1186">
      <w:pPr>
        <w:pStyle w:val="Odsekzoznamu"/>
        <w:numPr>
          <w:ilvl w:val="0"/>
          <w:numId w:val="1"/>
        </w:numPr>
        <w:spacing w:before="120" w:after="120" w:line="240" w:lineRule="auto"/>
        <w:jc w:val="both"/>
        <w:rPr>
          <w:rFonts w:cstheme="minorHAnsi"/>
          <w:b/>
          <w:color w:val="1F4E79" w:themeColor="accent1" w:themeShade="80"/>
        </w:rPr>
      </w:pPr>
      <w:r w:rsidRPr="00CA1186">
        <w:rPr>
          <w:b/>
        </w:rPr>
        <w:t>Aká je maximálna výška dotácie na vyslanie expertky/experta?</w:t>
      </w:r>
    </w:p>
    <w:p w14:paraId="0E8F784B" w14:textId="20D5EA9D" w:rsidR="00CA1186" w:rsidRDefault="00CA1186" w:rsidP="00641C92">
      <w:pPr>
        <w:spacing w:before="120" w:after="120" w:line="240" w:lineRule="auto"/>
        <w:jc w:val="both"/>
        <w:rPr>
          <w:color w:val="1F4E79" w:themeColor="accent1" w:themeShade="80"/>
        </w:rPr>
      </w:pPr>
      <w:r w:rsidRPr="00CA1186">
        <w:rPr>
          <w:color w:val="1F4E79" w:themeColor="accent1" w:themeShade="80"/>
        </w:rPr>
        <w:t>Maximálny limit na mesiac vyslania expertky dobrovoľníčky/experta-dobrovoľníka predstavuje 1 900 EUR a pokrýva všetky náklady projektu. Maximálna výška dotácie na vyslanie expertky - dobrovoľníčky/experta-dobrovoľníka (v prípade 3 mesačného vyslania) tak predstavuje 5 700 EUR.</w:t>
      </w:r>
    </w:p>
    <w:p w14:paraId="0B9D0F16" w14:textId="7567830C" w:rsidR="00535FE6" w:rsidRPr="00535FE6" w:rsidRDefault="00CA1186" w:rsidP="00CA1186">
      <w:pPr>
        <w:pStyle w:val="Odsekzoznamu"/>
        <w:numPr>
          <w:ilvl w:val="0"/>
          <w:numId w:val="1"/>
        </w:numPr>
        <w:spacing w:after="0" w:line="240" w:lineRule="auto"/>
        <w:rPr>
          <w:b/>
        </w:rPr>
      </w:pPr>
      <w:r w:rsidRPr="00CA1186">
        <w:rPr>
          <w:b/>
        </w:rPr>
        <w:t>Je možné presúvať finančne prostriedky medzi kategóriami?</w:t>
      </w:r>
    </w:p>
    <w:p w14:paraId="6AD7DD11" w14:textId="77777777" w:rsidR="00CA1186" w:rsidRPr="00CA1186" w:rsidRDefault="00CA1186" w:rsidP="00CA1186">
      <w:pPr>
        <w:spacing w:before="120" w:after="120" w:line="240" w:lineRule="auto"/>
        <w:jc w:val="both"/>
        <w:rPr>
          <w:rFonts w:ascii="Calibri" w:hAnsi="Calibri" w:cs="Calibri"/>
          <w:color w:val="1F4E79" w:themeColor="accent1" w:themeShade="80"/>
        </w:rPr>
      </w:pPr>
      <w:r w:rsidRPr="00CA1186">
        <w:rPr>
          <w:rFonts w:ascii="Calibri" w:hAnsi="Calibri" w:cs="Calibri"/>
          <w:color w:val="1F4E79" w:themeColor="accent1" w:themeShade="80"/>
        </w:rPr>
        <w:t xml:space="preserve">Presuny finančných prostriedkov je možné uskutočňovať výhradne v rámci jednotlivých kategórií. Tieto presuny nepodliehajú oznamovacej povinnosti, ani schváleniu SAMRS. </w:t>
      </w:r>
    </w:p>
    <w:p w14:paraId="7648C544" w14:textId="77777777" w:rsidR="00CA1186" w:rsidRPr="00CA1186" w:rsidRDefault="00CA1186" w:rsidP="00CA1186">
      <w:pPr>
        <w:spacing w:before="120" w:after="120" w:line="240" w:lineRule="auto"/>
        <w:jc w:val="both"/>
        <w:rPr>
          <w:rFonts w:ascii="Calibri" w:hAnsi="Calibri" w:cs="Calibri"/>
          <w:color w:val="1F4E79" w:themeColor="accent1" w:themeShade="80"/>
        </w:rPr>
      </w:pPr>
      <w:r w:rsidRPr="00CA1186">
        <w:rPr>
          <w:rFonts w:ascii="Calibri" w:hAnsi="Calibri" w:cs="Calibri"/>
          <w:color w:val="1F4E79" w:themeColor="accent1" w:themeShade="80"/>
        </w:rPr>
        <w:t>Z dôvodu prípadov vyššej moci môže prijímateľ požiadať o zmenu rozpočtu a presun medzi štyrmi hlavnými kategóriami. Prijímateľ je v takom prípade povinný písomne požiadať o schválenie SAMRS minimálne 30 dní pred vykonaním zmeny. Žiadosť o zmenu v písomnej forme musí byť riadne zdôvodnená a podpísaná štatutárnym zástupcom prijímateľa.</w:t>
      </w:r>
    </w:p>
    <w:p w14:paraId="60C4B7B7" w14:textId="77777777" w:rsidR="00CA1186" w:rsidRPr="00CA1186" w:rsidRDefault="00CA1186" w:rsidP="00CA1186">
      <w:pPr>
        <w:spacing w:before="120" w:after="120" w:line="240" w:lineRule="auto"/>
        <w:jc w:val="both"/>
        <w:rPr>
          <w:rFonts w:ascii="Calibri" w:hAnsi="Calibri" w:cs="Calibri"/>
          <w:color w:val="1F4E79" w:themeColor="accent1" w:themeShade="80"/>
        </w:rPr>
      </w:pPr>
      <w:r w:rsidRPr="00CA1186">
        <w:rPr>
          <w:rFonts w:ascii="Calibri" w:hAnsi="Calibri" w:cs="Calibri"/>
          <w:color w:val="1F4E79" w:themeColor="accent1" w:themeShade="80"/>
        </w:rPr>
        <w:t>Nie je možné vytvárať nové položky rozpočtu. Akékoľvek navýšenie rozpočtu nad rámec schválenej dotácie nie je možné.</w:t>
      </w:r>
    </w:p>
    <w:p w14:paraId="75C8C49D" w14:textId="77777777" w:rsidR="00CA1186" w:rsidRPr="00CA1186" w:rsidRDefault="00CA1186" w:rsidP="00CA1186">
      <w:pPr>
        <w:spacing w:before="120" w:after="120" w:line="240" w:lineRule="auto"/>
        <w:jc w:val="both"/>
        <w:rPr>
          <w:rFonts w:ascii="Calibri" w:hAnsi="Calibri" w:cs="Calibri"/>
          <w:color w:val="1F4E79" w:themeColor="accent1" w:themeShade="80"/>
        </w:rPr>
      </w:pPr>
      <w:r w:rsidRPr="00CA1186">
        <w:rPr>
          <w:rFonts w:ascii="Calibri" w:hAnsi="Calibri" w:cs="Calibri"/>
          <w:color w:val="1F4E79" w:themeColor="accent1" w:themeShade="80"/>
        </w:rPr>
        <w:t>Príklad: Ak máte v rozpočte predbežnú sumu za letenku 900 eur ale nakoniec stála len 700 eur a na poistenie 100 eur a stálo 200 eur, je to v poriadku. Len v konečnom súčte to musí v rámci danej kategórie sedieť.</w:t>
      </w:r>
    </w:p>
    <w:p w14:paraId="58513FCB" w14:textId="322BB2C6" w:rsidR="00CA1186" w:rsidRPr="00CA1186" w:rsidRDefault="00CA1186" w:rsidP="00CA1186">
      <w:pPr>
        <w:spacing w:before="120" w:after="120" w:line="240" w:lineRule="auto"/>
        <w:jc w:val="both"/>
        <w:rPr>
          <w:rFonts w:ascii="Calibri" w:hAnsi="Calibri" w:cs="Calibri"/>
          <w:color w:val="1F4E79" w:themeColor="accent1" w:themeShade="80"/>
        </w:rPr>
      </w:pPr>
      <w:r w:rsidRPr="00CA1186">
        <w:rPr>
          <w:rFonts w:ascii="Calibri" w:hAnsi="Calibri" w:cs="Calibri"/>
          <w:color w:val="1F4E79" w:themeColor="accent1" w:themeShade="80"/>
        </w:rPr>
        <w:t>V prípade vykonania presunu finančných prostriedkov medzi štyrmi hlavnými kategóriami bez súhlasu SAMRS budú takéto výdavky považované za neoprávnené.</w:t>
      </w:r>
    </w:p>
    <w:p w14:paraId="731C23A4" w14:textId="62289C40" w:rsidR="00641C92" w:rsidRPr="00EA5AC4" w:rsidRDefault="00CA1186" w:rsidP="00641C92">
      <w:pPr>
        <w:pStyle w:val="Odsekzoznamu"/>
        <w:numPr>
          <w:ilvl w:val="0"/>
          <w:numId w:val="1"/>
        </w:numPr>
        <w:spacing w:after="0" w:line="240" w:lineRule="auto"/>
        <w:jc w:val="both"/>
        <w:rPr>
          <w:b/>
        </w:rPr>
      </w:pPr>
      <w:r w:rsidRPr="00CA1186">
        <w:rPr>
          <w:b/>
        </w:rPr>
        <w:t>Ako je možné zistiť či dotácia na projekt bola subjektu schválená a kedy je možné začať realizovať projekt?</w:t>
      </w:r>
    </w:p>
    <w:p w14:paraId="6B21C39D" w14:textId="77777777"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Podľa § 7, odseku 6 zákona č. 392/2015 Z. z. o rozvojovej spolupráci a o zmene a o doplnení niektorých zákonov v znení zákona č. 281/2019 Z. z. minister ZVEZ SR schvaľuje žiadosť o poskytnutie dotácie na základe vyhodnotenia komisie, ktoré má odporúčací charakter. Po schválení žiadosti ministrom, SAMRS zašle žiadateľovi najneskôr do piatich pracovných dní písomný návrh na uzavretie zmluvy. Žiadateľ je povinný uzavrieť zmluvu so SAMRS najneskôr do troch mesiacov od dátumu schválenia žiadosti ministrom. V prípade, že žiadateľ nepodpíše so SAMRS zmluvu o poskytnutí dotácie do troch mesiacov od dátumu schválenia žiadosti ministrom, SAMRS to bude považovať za odstúpenie od schválenej dotácie.</w:t>
      </w:r>
    </w:p>
    <w:p w14:paraId="072E1F9E" w14:textId="05AE8433" w:rsidR="00535FE6" w:rsidRDefault="00CA1186" w:rsidP="002508CC">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Zoznam schválených žiadostí SAMRS zverejní na svojom webovom sídle http://www.slovakaid.sk najneskôr do piatich pracovných dní od schválenia žiadostí ministrom</w:t>
      </w:r>
    </w:p>
    <w:p w14:paraId="4030E613" w14:textId="6E816A37" w:rsidR="00535FE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Čo musí dobrovoľníčka/dobrovoľník pred vyslaním absolvovať?</w:t>
      </w:r>
    </w:p>
    <w:p w14:paraId="6921D329" w14:textId="77777777" w:rsidR="00EA5AC4" w:rsidRDefault="00CA1186" w:rsidP="00CA1186">
      <w:pPr>
        <w:rPr>
          <w:rFonts w:cstheme="minorHAnsi"/>
          <w:color w:val="1F4E79" w:themeColor="accent1" w:themeShade="80"/>
        </w:rPr>
      </w:pPr>
      <w:r w:rsidRPr="00CA1186">
        <w:rPr>
          <w:rFonts w:cstheme="minorHAnsi"/>
          <w:color w:val="1F4E79" w:themeColor="accent1" w:themeShade="80"/>
        </w:rPr>
        <w:t xml:space="preserve">Dobrovoľníčka/dobrovoľník musí pred vyslaním absolvovať povinné pred-výjazdové školenie, ktoré je </w:t>
      </w:r>
    </w:p>
    <w:p w14:paraId="5C2E52C1" w14:textId="1A34B011" w:rsidR="00CA1186" w:rsidRDefault="00CA1186" w:rsidP="00CA1186">
      <w:pPr>
        <w:rPr>
          <w:rFonts w:cstheme="minorHAnsi"/>
          <w:color w:val="1F4E79" w:themeColor="accent1" w:themeShade="80"/>
        </w:rPr>
      </w:pPr>
      <w:r w:rsidRPr="00CA1186">
        <w:rPr>
          <w:rFonts w:cstheme="minorHAnsi"/>
          <w:color w:val="1F4E79" w:themeColor="accent1" w:themeShade="80"/>
        </w:rPr>
        <w:t>plne v réžii prijímateľa. Po uskutočnení školenia je potrebné zaslať SAMRS prezenčnú listinu účastníkov školenia, fotografie, že sa školenie uskutočnilo a prípadne aj podkladové materiály/sylaby usporiadaného školenia. Školenia</w:t>
      </w:r>
      <w:r w:rsidRPr="000F2EA1">
        <w:rPr>
          <w:rFonts w:ascii="Arial" w:eastAsia="Times New Roman" w:hAnsi="Arial" w:cs="Arial"/>
          <w:color w:val="0B0C0C"/>
          <w:sz w:val="29"/>
          <w:szCs w:val="29"/>
          <w:lang w:eastAsia="sk-SK"/>
        </w:rPr>
        <w:t xml:space="preserve"> </w:t>
      </w:r>
      <w:r w:rsidRPr="00CA1186">
        <w:rPr>
          <w:rFonts w:cstheme="minorHAnsi"/>
          <w:color w:val="1F4E79" w:themeColor="accent1" w:themeShade="80"/>
        </w:rPr>
        <w:t>musia obsahovať minimálne nasledovné témy:</w:t>
      </w:r>
    </w:p>
    <w:p w14:paraId="72533784" w14:textId="0A23B1BC" w:rsidR="00EA5AC4" w:rsidRDefault="00EA5AC4" w:rsidP="00CA1186">
      <w:pPr>
        <w:rPr>
          <w:rFonts w:cstheme="minorHAnsi"/>
          <w:color w:val="1F4E79" w:themeColor="accent1" w:themeShade="80"/>
        </w:rPr>
      </w:pPr>
    </w:p>
    <w:p w14:paraId="16664128" w14:textId="77777777" w:rsidR="00EA5AC4" w:rsidRPr="00CA1186" w:rsidRDefault="00EA5AC4" w:rsidP="00CA1186">
      <w:pPr>
        <w:rPr>
          <w:rFonts w:cstheme="minorHAnsi"/>
          <w:color w:val="1F4E79" w:themeColor="accent1" w:themeShade="80"/>
        </w:rPr>
      </w:pPr>
    </w:p>
    <w:tbl>
      <w:tblPr>
        <w:tblpPr w:leftFromText="141" w:rightFromText="141" w:horzAnchor="margin" w:tblpXSpec="center" w:tblpY="1500"/>
        <w:tblW w:w="8407" w:type="dxa"/>
        <w:tblCellMar>
          <w:left w:w="70" w:type="dxa"/>
          <w:right w:w="70" w:type="dxa"/>
        </w:tblCellMar>
        <w:tblLook w:val="04A0" w:firstRow="1" w:lastRow="0" w:firstColumn="1" w:lastColumn="0" w:noHBand="0" w:noVBand="1"/>
      </w:tblPr>
      <w:tblGrid>
        <w:gridCol w:w="1800"/>
        <w:gridCol w:w="6607"/>
      </w:tblGrid>
      <w:tr w:rsidR="00CA1186" w:rsidRPr="00116B36" w14:paraId="3F41CC4F" w14:textId="77777777" w:rsidTr="00433D0A">
        <w:trPr>
          <w:trHeight w:val="230"/>
        </w:trPr>
        <w:tc>
          <w:tcPr>
            <w:tcW w:w="18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829AAC6"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lastRenderedPageBreak/>
              <w:t>modul</w:t>
            </w:r>
          </w:p>
        </w:tc>
        <w:tc>
          <w:tcPr>
            <w:tcW w:w="6607" w:type="dxa"/>
            <w:tcBorders>
              <w:top w:val="single" w:sz="4" w:space="0" w:color="auto"/>
              <w:left w:val="nil"/>
              <w:bottom w:val="single" w:sz="4" w:space="0" w:color="auto"/>
              <w:right w:val="single" w:sz="4" w:space="0" w:color="auto"/>
            </w:tcBorders>
            <w:shd w:val="clear" w:color="000000" w:fill="FFFF00"/>
            <w:vAlign w:val="center"/>
            <w:hideMark/>
          </w:tcPr>
          <w:p w14:paraId="71896703"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t>téma</w:t>
            </w:r>
          </w:p>
        </w:tc>
      </w:tr>
      <w:tr w:rsidR="00CA1186" w:rsidRPr="00116B36" w14:paraId="1AAD644B" w14:textId="77777777" w:rsidTr="00433D0A">
        <w:trPr>
          <w:trHeight w:val="230"/>
        </w:trPr>
        <w:tc>
          <w:tcPr>
            <w:tcW w:w="1800" w:type="dxa"/>
            <w:vMerge w:val="restart"/>
            <w:tcBorders>
              <w:top w:val="nil"/>
              <w:left w:val="single" w:sz="4" w:space="0" w:color="auto"/>
              <w:bottom w:val="single" w:sz="4" w:space="0" w:color="auto"/>
              <w:right w:val="single" w:sz="4" w:space="0" w:color="auto"/>
            </w:tcBorders>
            <w:shd w:val="clear" w:color="000000" w:fill="DBE5F1"/>
            <w:vAlign w:val="center"/>
            <w:hideMark/>
          </w:tcPr>
          <w:p w14:paraId="5A47D408"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t>Úvod</w:t>
            </w:r>
          </w:p>
        </w:tc>
        <w:tc>
          <w:tcPr>
            <w:tcW w:w="6607" w:type="dxa"/>
            <w:tcBorders>
              <w:top w:val="nil"/>
              <w:left w:val="nil"/>
              <w:bottom w:val="single" w:sz="4" w:space="0" w:color="auto"/>
              <w:right w:val="single" w:sz="4" w:space="0" w:color="auto"/>
            </w:tcBorders>
            <w:shd w:val="clear" w:color="000000" w:fill="DBE5F1"/>
            <w:vAlign w:val="center"/>
            <w:hideMark/>
          </w:tcPr>
          <w:p w14:paraId="109E0EE0"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privítanie</w:t>
            </w:r>
          </w:p>
        </w:tc>
      </w:tr>
      <w:tr w:rsidR="00CA1186" w:rsidRPr="00116B36" w14:paraId="03C7CB69"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08ED5E93"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DBE5F1"/>
            <w:vAlign w:val="center"/>
            <w:hideMark/>
          </w:tcPr>
          <w:p w14:paraId="1551F244"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zoznámenie</w:t>
            </w:r>
          </w:p>
        </w:tc>
      </w:tr>
      <w:tr w:rsidR="00CA1186" w:rsidRPr="00116B36" w14:paraId="200A9B00"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22D3312C"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DBE5F1"/>
            <w:vAlign w:val="center"/>
            <w:hideMark/>
          </w:tcPr>
          <w:p w14:paraId="1B12170A"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predstavenie programu</w:t>
            </w:r>
          </w:p>
        </w:tc>
      </w:tr>
      <w:tr w:rsidR="00CA1186" w:rsidRPr="00116B36" w14:paraId="5DC1C505" w14:textId="77777777" w:rsidTr="00433D0A">
        <w:trPr>
          <w:trHeight w:val="230"/>
        </w:trPr>
        <w:tc>
          <w:tcPr>
            <w:tcW w:w="1800" w:type="dxa"/>
            <w:vMerge w:val="restart"/>
            <w:tcBorders>
              <w:top w:val="nil"/>
              <w:left w:val="single" w:sz="4" w:space="0" w:color="auto"/>
              <w:bottom w:val="single" w:sz="4" w:space="0" w:color="auto"/>
              <w:right w:val="single" w:sz="4" w:space="0" w:color="auto"/>
            </w:tcBorders>
            <w:shd w:val="clear" w:color="000000" w:fill="C2D69A"/>
            <w:vAlign w:val="center"/>
            <w:hideMark/>
          </w:tcPr>
          <w:p w14:paraId="51E90399"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t>Rozvoj a rozvojová spolupráca</w:t>
            </w:r>
          </w:p>
        </w:tc>
        <w:tc>
          <w:tcPr>
            <w:tcW w:w="6607" w:type="dxa"/>
            <w:tcBorders>
              <w:top w:val="nil"/>
              <w:left w:val="nil"/>
              <w:bottom w:val="single" w:sz="4" w:space="0" w:color="auto"/>
              <w:right w:val="single" w:sz="4" w:space="0" w:color="auto"/>
            </w:tcBorders>
            <w:shd w:val="clear" w:color="000000" w:fill="C2D69A"/>
            <w:vAlign w:val="center"/>
            <w:hideMark/>
          </w:tcPr>
          <w:p w14:paraId="733BF20D"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definícia a ukážky teórií rozvoja</w:t>
            </w:r>
          </w:p>
        </w:tc>
      </w:tr>
      <w:tr w:rsidR="00CA1186" w:rsidRPr="00116B36" w14:paraId="36CEC3B3"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6DB04B06"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C2D69A"/>
            <w:vAlign w:val="center"/>
            <w:hideMark/>
          </w:tcPr>
          <w:p w14:paraId="1F3B08D6"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základné princípy rozvojovej spolupráce</w:t>
            </w:r>
          </w:p>
        </w:tc>
      </w:tr>
      <w:tr w:rsidR="00CA1186" w:rsidRPr="00116B36" w14:paraId="22205A87" w14:textId="77777777" w:rsidTr="00433D0A">
        <w:trPr>
          <w:trHeight w:val="230"/>
        </w:trPr>
        <w:tc>
          <w:tcPr>
            <w:tcW w:w="1800" w:type="dxa"/>
            <w:tcBorders>
              <w:top w:val="nil"/>
              <w:left w:val="single" w:sz="4" w:space="0" w:color="auto"/>
              <w:bottom w:val="single" w:sz="4" w:space="0" w:color="auto"/>
              <w:right w:val="single" w:sz="4" w:space="0" w:color="auto"/>
            </w:tcBorders>
            <w:shd w:val="clear" w:color="000000" w:fill="FFC000"/>
            <w:vAlign w:val="center"/>
            <w:hideMark/>
          </w:tcPr>
          <w:p w14:paraId="35366838"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prestávka</w:t>
            </w:r>
          </w:p>
        </w:tc>
        <w:tc>
          <w:tcPr>
            <w:tcW w:w="6607" w:type="dxa"/>
            <w:tcBorders>
              <w:top w:val="nil"/>
              <w:left w:val="nil"/>
              <w:bottom w:val="single" w:sz="4" w:space="0" w:color="auto"/>
              <w:right w:val="single" w:sz="4" w:space="0" w:color="auto"/>
            </w:tcBorders>
            <w:shd w:val="clear" w:color="000000" w:fill="FFC000"/>
            <w:vAlign w:val="center"/>
            <w:hideMark/>
          </w:tcPr>
          <w:p w14:paraId="0348FD0C"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p>
        </w:tc>
      </w:tr>
      <w:tr w:rsidR="00CA1186" w:rsidRPr="00116B36" w14:paraId="509B1959" w14:textId="77777777" w:rsidTr="00433D0A">
        <w:trPr>
          <w:trHeight w:val="230"/>
        </w:trPr>
        <w:tc>
          <w:tcPr>
            <w:tcW w:w="1800" w:type="dxa"/>
            <w:vMerge w:val="restart"/>
            <w:tcBorders>
              <w:top w:val="nil"/>
              <w:left w:val="single" w:sz="4" w:space="0" w:color="auto"/>
              <w:bottom w:val="nil"/>
              <w:right w:val="single" w:sz="4" w:space="0" w:color="auto"/>
            </w:tcBorders>
            <w:shd w:val="clear" w:color="000000" w:fill="DBE5F1"/>
            <w:vAlign w:val="center"/>
            <w:hideMark/>
          </w:tcPr>
          <w:p w14:paraId="4E3DA41E"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t>Globálny kontext pre dobrovoľnícku prácu</w:t>
            </w:r>
          </w:p>
        </w:tc>
        <w:tc>
          <w:tcPr>
            <w:tcW w:w="6607" w:type="dxa"/>
            <w:tcBorders>
              <w:top w:val="nil"/>
              <w:left w:val="nil"/>
              <w:bottom w:val="single" w:sz="4" w:space="0" w:color="auto"/>
              <w:right w:val="single" w:sz="4" w:space="0" w:color="auto"/>
            </w:tcBorders>
            <w:shd w:val="clear" w:color="000000" w:fill="DBE5F1"/>
            <w:vAlign w:val="center"/>
            <w:hideMark/>
          </w:tcPr>
          <w:p w14:paraId="2DCDF0C9"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očakávania a realita dobrovoľníckej práce</w:t>
            </w:r>
          </w:p>
        </w:tc>
      </w:tr>
      <w:tr w:rsidR="00CA1186" w:rsidRPr="00116B36" w14:paraId="73C00DEC" w14:textId="77777777" w:rsidTr="00433D0A">
        <w:trPr>
          <w:trHeight w:val="230"/>
        </w:trPr>
        <w:tc>
          <w:tcPr>
            <w:tcW w:w="1800" w:type="dxa"/>
            <w:vMerge/>
            <w:tcBorders>
              <w:top w:val="nil"/>
              <w:left w:val="single" w:sz="4" w:space="0" w:color="auto"/>
              <w:bottom w:val="nil"/>
              <w:right w:val="single" w:sz="4" w:space="0" w:color="auto"/>
            </w:tcBorders>
            <w:vAlign w:val="center"/>
            <w:hideMark/>
          </w:tcPr>
          <w:p w14:paraId="69284C5D"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DBE5F1"/>
            <w:vAlign w:val="center"/>
            <w:hideMark/>
          </w:tcPr>
          <w:p w14:paraId="4A066E3E"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základné etické zásady práce, používania obrazového materiálu a informovania o dobrovoľníckej skúsenosti</w:t>
            </w:r>
          </w:p>
        </w:tc>
      </w:tr>
      <w:tr w:rsidR="00CA1186" w:rsidRPr="00116B36" w14:paraId="20B165C2" w14:textId="77777777" w:rsidTr="00433D0A">
        <w:trPr>
          <w:trHeight w:val="230"/>
        </w:trPr>
        <w:tc>
          <w:tcPr>
            <w:tcW w:w="180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9E308ED"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obedová prestávka</w:t>
            </w:r>
          </w:p>
        </w:tc>
        <w:tc>
          <w:tcPr>
            <w:tcW w:w="6607" w:type="dxa"/>
            <w:tcBorders>
              <w:top w:val="nil"/>
              <w:left w:val="nil"/>
              <w:bottom w:val="single" w:sz="4" w:space="0" w:color="auto"/>
              <w:right w:val="single" w:sz="4" w:space="0" w:color="auto"/>
            </w:tcBorders>
            <w:shd w:val="clear" w:color="000000" w:fill="FFC000"/>
            <w:vAlign w:val="center"/>
            <w:hideMark/>
          </w:tcPr>
          <w:p w14:paraId="05DA3F0C"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p>
        </w:tc>
      </w:tr>
      <w:tr w:rsidR="00CA1186" w:rsidRPr="00116B36" w14:paraId="0DDD91B1" w14:textId="77777777" w:rsidTr="00433D0A">
        <w:trPr>
          <w:trHeight w:val="230"/>
        </w:trPr>
        <w:tc>
          <w:tcPr>
            <w:tcW w:w="1800" w:type="dxa"/>
            <w:vMerge w:val="restart"/>
            <w:tcBorders>
              <w:top w:val="nil"/>
              <w:left w:val="single" w:sz="4" w:space="0" w:color="auto"/>
              <w:bottom w:val="single" w:sz="4" w:space="0" w:color="auto"/>
              <w:right w:val="single" w:sz="4" w:space="0" w:color="auto"/>
            </w:tcBorders>
            <w:shd w:val="clear" w:color="000000" w:fill="C2D69A"/>
            <w:vAlign w:val="center"/>
            <w:hideMark/>
          </w:tcPr>
          <w:p w14:paraId="5099985F"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t>Bezpečnosť</w:t>
            </w:r>
          </w:p>
        </w:tc>
        <w:tc>
          <w:tcPr>
            <w:tcW w:w="6607" w:type="dxa"/>
            <w:tcBorders>
              <w:top w:val="nil"/>
              <w:left w:val="nil"/>
              <w:bottom w:val="single" w:sz="4" w:space="0" w:color="auto"/>
              <w:right w:val="single" w:sz="4" w:space="0" w:color="auto"/>
            </w:tcBorders>
            <w:shd w:val="clear" w:color="000000" w:fill="C2D69A"/>
            <w:vAlign w:val="center"/>
            <w:hideMark/>
          </w:tcPr>
          <w:p w14:paraId="2F7746A2"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bezpečnostné stratégie</w:t>
            </w:r>
          </w:p>
        </w:tc>
      </w:tr>
      <w:tr w:rsidR="00CA1186" w:rsidRPr="00116B36" w14:paraId="1ECAD52C"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082AE8CE"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C2D69A"/>
            <w:vAlign w:val="center"/>
            <w:hideMark/>
          </w:tcPr>
          <w:p w14:paraId="7131CE78"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princípy osobne bezpečnosti</w:t>
            </w:r>
          </w:p>
        </w:tc>
      </w:tr>
      <w:tr w:rsidR="00CA1186" w:rsidRPr="00116B36" w14:paraId="7398CDB5"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6660AAF6"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C2D69A"/>
            <w:vAlign w:val="center"/>
            <w:hideMark/>
          </w:tcPr>
          <w:p w14:paraId="258B7F21"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najčastejšie bezpečnostné situácie</w:t>
            </w:r>
          </w:p>
        </w:tc>
      </w:tr>
      <w:tr w:rsidR="00CA1186" w:rsidRPr="00116B36" w14:paraId="29B90C1F" w14:textId="77777777" w:rsidTr="00433D0A">
        <w:trPr>
          <w:trHeight w:val="230"/>
        </w:trPr>
        <w:tc>
          <w:tcPr>
            <w:tcW w:w="1800" w:type="dxa"/>
            <w:vMerge w:val="restart"/>
            <w:tcBorders>
              <w:top w:val="nil"/>
              <w:left w:val="single" w:sz="4" w:space="0" w:color="auto"/>
              <w:bottom w:val="single" w:sz="4" w:space="0" w:color="auto"/>
              <w:right w:val="single" w:sz="4" w:space="0" w:color="auto"/>
            </w:tcBorders>
            <w:shd w:val="clear" w:color="000000" w:fill="DBE5F1"/>
            <w:vAlign w:val="center"/>
            <w:hideMark/>
          </w:tcPr>
          <w:p w14:paraId="481885D9"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t>Zdravie</w:t>
            </w:r>
          </w:p>
        </w:tc>
        <w:tc>
          <w:tcPr>
            <w:tcW w:w="6607" w:type="dxa"/>
            <w:tcBorders>
              <w:top w:val="nil"/>
              <w:left w:val="nil"/>
              <w:bottom w:val="single" w:sz="4" w:space="0" w:color="auto"/>
              <w:right w:val="single" w:sz="4" w:space="0" w:color="auto"/>
            </w:tcBorders>
            <w:shd w:val="clear" w:color="000000" w:fill="DBE5F1"/>
            <w:vAlign w:val="center"/>
            <w:hideMark/>
          </w:tcPr>
          <w:p w14:paraId="6FD3C1A7"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príprava na dobrovoľnícky pobyt pred odchodom</w:t>
            </w:r>
          </w:p>
        </w:tc>
      </w:tr>
      <w:tr w:rsidR="00CA1186" w:rsidRPr="00116B36" w14:paraId="16ABAA76"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3B12BCD5"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DBE5F1"/>
            <w:vAlign w:val="center"/>
            <w:hideMark/>
          </w:tcPr>
          <w:p w14:paraId="58E2FA5D"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základné zdravotné riziká a opatrenia voči nim počas pobytu</w:t>
            </w:r>
          </w:p>
        </w:tc>
      </w:tr>
      <w:tr w:rsidR="00CA1186" w:rsidRPr="00116B36" w14:paraId="2B024DE0" w14:textId="77777777" w:rsidTr="00433D0A">
        <w:trPr>
          <w:trHeight w:val="230"/>
        </w:trPr>
        <w:tc>
          <w:tcPr>
            <w:tcW w:w="1800" w:type="dxa"/>
            <w:tcBorders>
              <w:top w:val="nil"/>
              <w:left w:val="single" w:sz="4" w:space="0" w:color="auto"/>
              <w:bottom w:val="single" w:sz="4" w:space="0" w:color="auto"/>
              <w:right w:val="single" w:sz="4" w:space="0" w:color="auto"/>
            </w:tcBorders>
            <w:shd w:val="clear" w:color="000000" w:fill="FFC000"/>
            <w:vAlign w:val="center"/>
            <w:hideMark/>
          </w:tcPr>
          <w:p w14:paraId="52B74131"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prestávka</w:t>
            </w:r>
          </w:p>
        </w:tc>
        <w:tc>
          <w:tcPr>
            <w:tcW w:w="6607" w:type="dxa"/>
            <w:tcBorders>
              <w:top w:val="nil"/>
              <w:left w:val="nil"/>
              <w:bottom w:val="single" w:sz="4" w:space="0" w:color="auto"/>
              <w:right w:val="single" w:sz="4" w:space="0" w:color="auto"/>
            </w:tcBorders>
            <w:shd w:val="clear" w:color="000000" w:fill="FFC000"/>
            <w:vAlign w:val="center"/>
            <w:hideMark/>
          </w:tcPr>
          <w:p w14:paraId="5B4CC3D9"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p>
        </w:tc>
      </w:tr>
      <w:tr w:rsidR="00CA1186" w:rsidRPr="00116B36" w14:paraId="5D33D974" w14:textId="77777777" w:rsidTr="00433D0A">
        <w:trPr>
          <w:trHeight w:val="230"/>
        </w:trPr>
        <w:tc>
          <w:tcPr>
            <w:tcW w:w="1800" w:type="dxa"/>
            <w:vMerge w:val="restart"/>
            <w:tcBorders>
              <w:top w:val="nil"/>
              <w:left w:val="single" w:sz="4" w:space="0" w:color="auto"/>
              <w:bottom w:val="single" w:sz="4" w:space="0" w:color="auto"/>
              <w:right w:val="single" w:sz="4" w:space="0" w:color="auto"/>
            </w:tcBorders>
            <w:shd w:val="clear" w:color="000000" w:fill="C2D69A"/>
            <w:vAlign w:val="center"/>
            <w:hideMark/>
          </w:tcPr>
          <w:p w14:paraId="12724F63"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r w:rsidRPr="00116B36">
              <w:rPr>
                <w:rFonts w:ascii="Times New Roman" w:eastAsia="Times New Roman" w:hAnsi="Times New Roman" w:cs="Times New Roman"/>
                <w:b/>
                <w:bCs/>
                <w:color w:val="000000"/>
                <w:lang w:eastAsia="sk-SK"/>
              </w:rPr>
              <w:t>Interkultúrne kompetencie</w:t>
            </w:r>
          </w:p>
        </w:tc>
        <w:tc>
          <w:tcPr>
            <w:tcW w:w="6607" w:type="dxa"/>
            <w:tcBorders>
              <w:top w:val="nil"/>
              <w:left w:val="nil"/>
              <w:bottom w:val="single" w:sz="4" w:space="0" w:color="auto"/>
              <w:right w:val="single" w:sz="4" w:space="0" w:color="auto"/>
            </w:tcBorders>
            <w:shd w:val="clear" w:color="000000" w:fill="C4D79B"/>
            <w:vAlign w:val="center"/>
            <w:hideMark/>
          </w:tcPr>
          <w:p w14:paraId="465C479B"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stereotypy</w:t>
            </w:r>
          </w:p>
        </w:tc>
      </w:tr>
      <w:tr w:rsidR="00CA1186" w:rsidRPr="00116B36" w14:paraId="683077EE"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292A104F"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C2D69A"/>
            <w:vAlign w:val="center"/>
            <w:hideMark/>
          </w:tcPr>
          <w:p w14:paraId="4DC06005"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interkultúrna komunikácia</w:t>
            </w:r>
          </w:p>
        </w:tc>
      </w:tr>
      <w:tr w:rsidR="00CA1186" w:rsidRPr="00116B36" w14:paraId="17C7A738"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2675D6AE"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C2D69A"/>
            <w:vAlign w:val="center"/>
            <w:hideMark/>
          </w:tcPr>
          <w:p w14:paraId="11B9964C"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štádiá interkultúrnych kompetencií</w:t>
            </w:r>
          </w:p>
        </w:tc>
      </w:tr>
      <w:tr w:rsidR="00CA1186" w:rsidRPr="00116B36" w14:paraId="40D22619" w14:textId="77777777" w:rsidTr="00433D0A">
        <w:trPr>
          <w:trHeight w:val="230"/>
        </w:trPr>
        <w:tc>
          <w:tcPr>
            <w:tcW w:w="1800" w:type="dxa"/>
            <w:vMerge w:val="restart"/>
            <w:tcBorders>
              <w:top w:val="nil"/>
              <w:left w:val="single" w:sz="4" w:space="0" w:color="auto"/>
              <w:bottom w:val="single" w:sz="4" w:space="0" w:color="auto"/>
              <w:right w:val="single" w:sz="4" w:space="0" w:color="auto"/>
            </w:tcBorders>
            <w:shd w:val="clear" w:color="000000" w:fill="DBE5F1"/>
            <w:vAlign w:val="center"/>
            <w:hideMark/>
          </w:tcPr>
          <w:p w14:paraId="6166DF5E" w14:textId="77777777" w:rsidR="00CA1186" w:rsidRPr="00116B36" w:rsidRDefault="00CA1186" w:rsidP="00433D0A">
            <w:pPr>
              <w:spacing w:after="0" w:line="240" w:lineRule="auto"/>
              <w:jc w:val="center"/>
              <w:rPr>
                <w:rFonts w:ascii="Times New Roman" w:eastAsia="Times New Roman" w:hAnsi="Times New Roman" w:cs="Times New Roman"/>
                <w:b/>
                <w:bCs/>
                <w:color w:val="000000"/>
                <w:lang w:eastAsia="sk-SK"/>
              </w:rPr>
            </w:pPr>
          </w:p>
        </w:tc>
        <w:tc>
          <w:tcPr>
            <w:tcW w:w="6607" w:type="dxa"/>
            <w:tcBorders>
              <w:top w:val="nil"/>
              <w:left w:val="nil"/>
              <w:bottom w:val="single" w:sz="4" w:space="0" w:color="auto"/>
              <w:right w:val="single" w:sz="4" w:space="0" w:color="auto"/>
            </w:tcBorders>
            <w:shd w:val="clear" w:color="000000" w:fill="DBE5F1"/>
            <w:vAlign w:val="center"/>
            <w:hideMark/>
          </w:tcPr>
          <w:p w14:paraId="4293F2B0" w14:textId="77777777" w:rsidR="00CA1186" w:rsidRPr="00116B36" w:rsidRDefault="00CA1186" w:rsidP="00433D0A">
            <w:pPr>
              <w:spacing w:after="0" w:line="240" w:lineRule="auto"/>
              <w:jc w:val="center"/>
              <w:rPr>
                <w:rFonts w:ascii="Times New Roman" w:eastAsia="Times New Roman" w:hAnsi="Times New Roman" w:cs="Times New Roman"/>
                <w:color w:val="000000"/>
                <w:lang w:eastAsia="sk-SK"/>
              </w:rPr>
            </w:pPr>
            <w:r w:rsidRPr="00116B36">
              <w:rPr>
                <w:rFonts w:ascii="Times New Roman" w:eastAsia="Times New Roman" w:hAnsi="Times New Roman" w:cs="Times New Roman"/>
                <w:color w:val="000000"/>
                <w:lang w:eastAsia="sk-SK"/>
              </w:rPr>
              <w:t>spätná väzba účastníkov</w:t>
            </w:r>
          </w:p>
        </w:tc>
      </w:tr>
      <w:tr w:rsidR="00CA1186" w:rsidRPr="00CA1186" w14:paraId="7D7E1CC5" w14:textId="77777777" w:rsidTr="00433D0A">
        <w:trPr>
          <w:trHeight w:val="230"/>
        </w:trPr>
        <w:tc>
          <w:tcPr>
            <w:tcW w:w="1800" w:type="dxa"/>
            <w:vMerge/>
            <w:tcBorders>
              <w:top w:val="nil"/>
              <w:left w:val="single" w:sz="4" w:space="0" w:color="auto"/>
              <w:bottom w:val="single" w:sz="4" w:space="0" w:color="auto"/>
              <w:right w:val="single" w:sz="4" w:space="0" w:color="auto"/>
            </w:tcBorders>
            <w:vAlign w:val="center"/>
            <w:hideMark/>
          </w:tcPr>
          <w:p w14:paraId="590C76F4" w14:textId="77777777" w:rsidR="00CA1186" w:rsidRPr="00CA1186" w:rsidRDefault="00CA1186" w:rsidP="00CA1186">
            <w:pPr>
              <w:shd w:val="clear" w:color="auto" w:fill="FFFFFF"/>
              <w:spacing w:before="100" w:beforeAutospacing="1" w:after="100" w:afterAutospacing="1" w:line="375" w:lineRule="atLeast"/>
              <w:rPr>
                <w:rFonts w:cstheme="minorHAnsi"/>
                <w:color w:val="1F4E79" w:themeColor="accent1" w:themeShade="80"/>
              </w:rPr>
            </w:pPr>
          </w:p>
        </w:tc>
        <w:tc>
          <w:tcPr>
            <w:tcW w:w="6607" w:type="dxa"/>
            <w:tcBorders>
              <w:top w:val="nil"/>
              <w:left w:val="nil"/>
              <w:bottom w:val="single" w:sz="4" w:space="0" w:color="auto"/>
              <w:right w:val="single" w:sz="4" w:space="0" w:color="auto"/>
            </w:tcBorders>
            <w:shd w:val="clear" w:color="000000" w:fill="DBE5F1"/>
            <w:vAlign w:val="center"/>
            <w:hideMark/>
          </w:tcPr>
          <w:p w14:paraId="4E3C61BB" w14:textId="77777777" w:rsidR="00CA1186" w:rsidRPr="00CA1186" w:rsidRDefault="00CA1186" w:rsidP="00CA1186">
            <w:pPr>
              <w:shd w:val="clear" w:color="auto" w:fill="FFFFFF"/>
              <w:spacing w:before="100" w:beforeAutospacing="1" w:after="100" w:afterAutospacing="1" w:line="375" w:lineRule="atLeast"/>
              <w:rPr>
                <w:rFonts w:cstheme="minorHAnsi"/>
                <w:color w:val="1F4E79" w:themeColor="accent1" w:themeShade="80"/>
              </w:rPr>
            </w:pPr>
            <w:r w:rsidRPr="00CA1186">
              <w:rPr>
                <w:rFonts w:cstheme="minorHAnsi"/>
                <w:color w:val="1F4E79" w:themeColor="accent1" w:themeShade="80"/>
              </w:rPr>
              <w:t>ukončenie</w:t>
            </w:r>
          </w:p>
        </w:tc>
      </w:tr>
    </w:tbl>
    <w:p w14:paraId="3CC4549E" w14:textId="77777777" w:rsidR="00EA5AC4" w:rsidRDefault="00EA5AC4" w:rsidP="00CA1186">
      <w:pPr>
        <w:shd w:val="clear" w:color="auto" w:fill="FFFFFF"/>
        <w:spacing w:before="100" w:beforeAutospacing="1" w:after="100" w:afterAutospacing="1" w:line="375" w:lineRule="atLeast"/>
        <w:rPr>
          <w:rFonts w:cstheme="minorHAnsi"/>
          <w:color w:val="1F4E79" w:themeColor="accent1" w:themeShade="80"/>
        </w:rPr>
      </w:pPr>
    </w:p>
    <w:p w14:paraId="6A22A999" w14:textId="7CBB6951" w:rsidR="00CA1186" w:rsidRPr="00CA1186" w:rsidRDefault="00CA1186" w:rsidP="00CA1186">
      <w:pPr>
        <w:shd w:val="clear" w:color="auto" w:fill="FFFFFF"/>
        <w:spacing w:before="100" w:beforeAutospacing="1" w:after="100" w:afterAutospacing="1" w:line="375" w:lineRule="atLeast"/>
        <w:rPr>
          <w:rFonts w:cstheme="minorHAnsi"/>
          <w:color w:val="1F4E79" w:themeColor="accent1" w:themeShade="80"/>
        </w:rPr>
      </w:pPr>
      <w:r w:rsidRPr="00CA1186">
        <w:rPr>
          <w:rFonts w:cstheme="minorHAnsi"/>
          <w:color w:val="1F4E79" w:themeColor="accent1" w:themeShade="80"/>
        </w:rPr>
        <w:t>Ďalšie pridané témy v rámci školenia sú plne v réžii prijímateľa.</w:t>
      </w:r>
      <w:r w:rsidRPr="000F2EA1">
        <w:rPr>
          <w:rFonts w:ascii="Arial" w:eastAsia="Times New Roman" w:hAnsi="Arial" w:cs="Arial"/>
          <w:color w:val="0B0C0C"/>
          <w:sz w:val="29"/>
          <w:szCs w:val="29"/>
          <w:lang w:eastAsia="sk-SK"/>
        </w:rPr>
        <w:t xml:space="preserve"> </w:t>
      </w:r>
      <w:r w:rsidRPr="00CA1186">
        <w:rPr>
          <w:rFonts w:cstheme="minorHAnsi"/>
          <w:color w:val="1F4E79" w:themeColor="accent1" w:themeShade="80"/>
        </w:rPr>
        <w:t>Školenie sa musí uskutočniť pred výjazdom dobrovoľníčok/dobrovoľníkov.</w:t>
      </w:r>
    </w:p>
    <w:p w14:paraId="75D4B0BF" w14:textId="23750344" w:rsidR="00CA1186" w:rsidRPr="00EA5AC4" w:rsidRDefault="00CA1186" w:rsidP="00EA5AC4">
      <w:pPr>
        <w:shd w:val="clear" w:color="auto" w:fill="FFFFFF"/>
        <w:spacing w:before="100" w:beforeAutospacing="1" w:after="100" w:afterAutospacing="1" w:line="375" w:lineRule="atLeast"/>
        <w:rPr>
          <w:rFonts w:cstheme="minorHAnsi"/>
          <w:color w:val="1F4E79" w:themeColor="accent1" w:themeShade="80"/>
        </w:rPr>
      </w:pPr>
      <w:r w:rsidRPr="00CA1186">
        <w:rPr>
          <w:rFonts w:cstheme="minorHAnsi"/>
          <w:color w:val="1F4E79" w:themeColor="accent1" w:themeShade="80"/>
        </w:rPr>
        <w:t xml:space="preserve">Expertka – dobrovoľníčka/expert - dobrovoľník toto školenie absolvovať nemusí. Dobrovoľníčka/dobrovoľník, ktorá/ý školenie už absolvovala kvôli predchádzajúcemu vyslaniu cez </w:t>
      </w:r>
      <w:proofErr w:type="spellStart"/>
      <w:r w:rsidRPr="00CA1186">
        <w:rPr>
          <w:rFonts w:cstheme="minorHAnsi"/>
          <w:color w:val="1F4E79" w:themeColor="accent1" w:themeShade="80"/>
        </w:rPr>
        <w:t>SlovakAid</w:t>
      </w:r>
      <w:proofErr w:type="spellEnd"/>
      <w:r w:rsidRPr="00CA1186">
        <w:rPr>
          <w:rFonts w:cstheme="minorHAnsi"/>
          <w:color w:val="1F4E79" w:themeColor="accent1" w:themeShade="80"/>
        </w:rPr>
        <w:t>, taktiež školenie druhýkrát absolvovať nemusí.</w:t>
      </w:r>
    </w:p>
    <w:p w14:paraId="51A12EF3" w14:textId="54B63B26"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 xml:space="preserve">Koľkokrát môže byť jedna a tá istá dobrovoľníčka/dobrovoľník vyslaná/ý na dobrovoľnícke vyslanie cez </w:t>
      </w:r>
      <w:proofErr w:type="spellStart"/>
      <w:r w:rsidRPr="00CA1186">
        <w:rPr>
          <w:rFonts w:ascii="Calibri" w:hAnsi="Calibri" w:cs="Calibri"/>
          <w:b/>
        </w:rPr>
        <w:t>SlovakAid</w:t>
      </w:r>
      <w:proofErr w:type="spellEnd"/>
      <w:r w:rsidRPr="00CA1186">
        <w:rPr>
          <w:rFonts w:ascii="Calibri" w:hAnsi="Calibri" w:cs="Calibri"/>
          <w:b/>
        </w:rPr>
        <w:t>?</w:t>
      </w:r>
    </w:p>
    <w:p w14:paraId="6E07F492" w14:textId="3C691F5F"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 xml:space="preserve">SAMRS podporuje maximálne dve opakované vyslania dobrovoľníčky / dobrovoľníka alebo expertky – dobrovoľníčky / experta - dobrovoľníka. Dobrovoľníčka/dobrovoľník, ktorý už bol v rámci trvania </w:t>
      </w:r>
      <w:proofErr w:type="spellStart"/>
      <w:r w:rsidRPr="00CA1186">
        <w:rPr>
          <w:rFonts w:cstheme="minorHAnsi"/>
          <w:color w:val="1F4E79" w:themeColor="accent1" w:themeShade="80"/>
        </w:rPr>
        <w:t>SlovakAid</w:t>
      </w:r>
      <w:proofErr w:type="spellEnd"/>
      <w:r w:rsidRPr="00CA1186">
        <w:rPr>
          <w:rFonts w:cstheme="minorHAnsi"/>
          <w:color w:val="1F4E79" w:themeColor="accent1" w:themeShade="80"/>
        </w:rPr>
        <w:t xml:space="preserve"> programu podporený SAMRS dvakrát a viac (bez ohľadu na to, či išlo o vyslanie ako dobrovoľníčka/dobrovoľník alebo expertka – dobrovoľníčka/ expert-dobrovoľník), bude neoprávneným účastníkom.</w:t>
      </w:r>
    </w:p>
    <w:p w14:paraId="0679F3B3" w14:textId="759A8B4E"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Môže sa jedného schváleného dobrovoľníckeho vyslania zúčastniť počas realizácie projektu viac dobrovoľníčok/dobrovoľníkov?</w:t>
      </w:r>
    </w:p>
    <w:p w14:paraId="44DF317D" w14:textId="1440B6BB"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Nie, počas jedného dobrovoľníckeho vyslania môže byť vysielajúcou inštitúciou vyslaná/ý jedna dobrovoľníčka/dobrovoľník.</w:t>
      </w:r>
    </w:p>
    <w:p w14:paraId="1C84B666" w14:textId="42036E53"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lastRenderedPageBreak/>
        <w:t>Je COVID-19 test oprávneným výdavkom ?</w:t>
      </w:r>
    </w:p>
    <w:p w14:paraId="18AC48D6" w14:textId="63DBE30E"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Áno, PCR COVID-19 test je oprávneným výdavkom v rámci celého trvania dobrovoľníckeho vyslania. COVID-19 test je možné preplatiť v rámci výdavkov na cestovné náhrady. Takisto je oprávneným výdavkom aj zabezpečenie ochranných pomôcok (ako sú rúška alebo respirátor, resp. zakúpenie dezinfekcie).</w:t>
      </w:r>
    </w:p>
    <w:p w14:paraId="2BBDFB4E" w14:textId="1AFE71BF"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Je možné cestovať na dobrovoľnícke vyslanie motorovým vozidlom?</w:t>
      </w:r>
    </w:p>
    <w:p w14:paraId="69E03DDA" w14:textId="77777777"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 xml:space="preserve">Áno, všetky potrebné informácie sú dôsledne vysvetlené v Manuáli pre vyslanie dobrovoľníčok/dobrovoľníkov a expertiek-dobrovoľníčok/expertov-dobrovoľníkov do partnerských krajín. </w:t>
      </w:r>
    </w:p>
    <w:p w14:paraId="2E5E6C9A" w14:textId="5AB1D06D"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 xml:space="preserve">V prípade použitia súkromného alebo služobného motorového vozidla je potrebné doložiť kópiu technického preukazu na overenie spotreby PHM, trasu jazdy na/z dobrovoľníckeho/expertného výjazdu (napr. trasa z Google </w:t>
      </w:r>
      <w:proofErr w:type="spellStart"/>
      <w:r w:rsidRPr="00CA1186">
        <w:rPr>
          <w:rFonts w:cstheme="minorHAnsi"/>
          <w:color w:val="1F4E79" w:themeColor="accent1" w:themeShade="80"/>
        </w:rPr>
        <w:t>maps</w:t>
      </w:r>
      <w:proofErr w:type="spellEnd"/>
      <w:r w:rsidRPr="00CA1186">
        <w:rPr>
          <w:rFonts w:cstheme="minorHAnsi"/>
          <w:color w:val="1F4E79" w:themeColor="accent1" w:themeShade="80"/>
        </w:rPr>
        <w:t xml:space="preserve">, </w:t>
      </w:r>
      <w:proofErr w:type="spellStart"/>
      <w:r w:rsidRPr="00CA1186">
        <w:rPr>
          <w:rFonts w:cstheme="minorHAnsi"/>
          <w:color w:val="1F4E79" w:themeColor="accent1" w:themeShade="80"/>
        </w:rPr>
        <w:t>Sygic</w:t>
      </w:r>
      <w:proofErr w:type="spellEnd"/>
      <w:r w:rsidRPr="00CA1186">
        <w:rPr>
          <w:rFonts w:cstheme="minorHAnsi"/>
          <w:color w:val="1F4E79" w:themeColor="accent1" w:themeShade="80"/>
        </w:rPr>
        <w:t xml:space="preserve"> a pod.), dokumenty o zaplatení paliva a taktiež vyplnenú prílohu č. 4 k Manuálu (Používanie motorového vozidla).</w:t>
      </w:r>
    </w:p>
    <w:p w14:paraId="7045E0C2" w14:textId="17B84CF8"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Od kedy sa ráta po návrate dobrovoľníčky/dobrovoľníka čas na odovzdanie vyúčtovania a záverečnej správy a realizácia po-návratových aktivít?</w:t>
      </w:r>
    </w:p>
    <w:p w14:paraId="039D2D4B" w14:textId="77777777"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Najneskôr do 60 kalendárnych dní po ukončení reálneho vyslania dobrovoľníčky/dobrovoľníka alebo expertky-dobrovoľníčky/experta-dobrovoľníka, najneskôr však do konca doby trvania projektu uvedenej v zmluve, je prijímateľ povinný vyplniť a predložiť záverečnú správu o realizácii projektu, vrátane vyúčtovania a predloženia kópií účtovných dokladov.</w:t>
      </w:r>
    </w:p>
    <w:p w14:paraId="3FDF5795" w14:textId="77777777"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Odovzdanie záverečnej správy a vyúčtovania sa vždy teda odvíja od skutočného ukončenia vyslania v partnerskej krajine, teda najneskôr dva mesiace po ukončení reálneho vyslania dobrovoľníčky/dobrovoľníka alebo expertky – dobrovoľníčky/experta - dobrovoľníka v partnerskej krajine (v závislosti od zmluvy) a návrate na SR.</w:t>
      </w:r>
    </w:p>
    <w:p w14:paraId="146D9778" w14:textId="762FD7F3"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 xml:space="preserve">Príklad: Ak je celková doba realizácie projektu od 1.3.2021 do 1.7.2022 (čiže 2 mesiace pred vyslaním + 12 mesiacov vyslania v partnerskej krajine+ 2 po návrate) a dobrovoľník sa vráti skôr ako bolo plánované (v príklade sa má vrátiť 1.5.2022, teda po 12 mesiacov vyslania), napríklad 16.4.2022- prijímateľ má od tohto dátumu reálne ukončeného vyslania dobrovoľníka v partnerskej krajine z dňa 16.4.2022 dva mesiace na to, aby zrealizoval po-návratové aktivity a odovzdal </w:t>
      </w:r>
      <w:proofErr w:type="spellStart"/>
      <w:r w:rsidRPr="00CA1186">
        <w:rPr>
          <w:rFonts w:cstheme="minorHAnsi"/>
          <w:color w:val="1F4E79" w:themeColor="accent1" w:themeShade="80"/>
        </w:rPr>
        <w:t>ZSaV</w:t>
      </w:r>
      <w:proofErr w:type="spellEnd"/>
      <w:r w:rsidRPr="00CA1186">
        <w:rPr>
          <w:rFonts w:cstheme="minorHAnsi"/>
          <w:color w:val="1F4E79" w:themeColor="accent1" w:themeShade="80"/>
        </w:rPr>
        <w:t>. V tomto prípade do termínu 16.6.2022.</w:t>
      </w:r>
    </w:p>
    <w:p w14:paraId="2438C3D4" w14:textId="101315BC"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Je dobrovoľníčka/dobrovoľník resp. expertka – dobrovoľníčka/expert - dobrovoľník povinná/-ý realizovať po-návratové aktivity aj v situácii pandémie koronavírusu?</w:t>
      </w:r>
    </w:p>
    <w:p w14:paraId="68507D76" w14:textId="535EB1FB"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Áno, je to povinná časť realizácie projektu po návrate z vyslania v partnerskej krajine. V čase pandémie je najlepším spôsobom písať články, organizovať online diskusie, prednášky a iné aktivity v online priestore.</w:t>
      </w:r>
    </w:p>
    <w:p w14:paraId="68ADB561" w14:textId="53904442"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Akým spôsobom sú vyplácané platby pri dobrovoľníckych projektoch?</w:t>
      </w:r>
    </w:p>
    <w:p w14:paraId="06106112" w14:textId="3ECB19B1" w:rsid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Podľa zmluvy o poskytnutí dotácie sú finančné platby prijímateľovi vyplatené nasledovne:</w:t>
      </w:r>
    </w:p>
    <w:p w14:paraId="10A56FAC" w14:textId="1BA3102E" w:rsidR="00A257A1" w:rsidRPr="00CA1186" w:rsidRDefault="00A257A1" w:rsidP="00CA1186">
      <w:pPr>
        <w:widowControl w:val="0"/>
        <w:tabs>
          <w:tab w:val="left" w:pos="346"/>
        </w:tabs>
        <w:spacing w:before="120" w:after="0" w:line="240" w:lineRule="auto"/>
        <w:ind w:right="103"/>
        <w:jc w:val="both"/>
        <w:rPr>
          <w:rFonts w:cstheme="minorHAnsi"/>
          <w:color w:val="1F4E79" w:themeColor="accent1" w:themeShade="80"/>
        </w:rPr>
      </w:pPr>
      <w:r w:rsidRPr="00A257A1">
        <w:rPr>
          <w:rFonts w:cstheme="minorHAnsi"/>
          <w:color w:val="1F4E79" w:themeColor="accent1" w:themeShade="80"/>
        </w:rPr>
        <w:t>Prvá časť dotácie vo výške 80 % schválenej sumy dotácie bude vyplatená do 15 pracovných dní odo dňa nadobudnutia účinnosti podpísanej zmluvy o poskytnutí dotácie.</w:t>
      </w:r>
    </w:p>
    <w:p w14:paraId="6097800D" w14:textId="44A6B34C" w:rsid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Druhá záverečná časť dotácie do výšky max. 20% zo schválenej dotácie je vyplatená prijímateľovi po predložení a schválení vyúčtovania dotácie a záverečnej správy z realizácie projektu do 30 pracovných dní odo dňa predloženia písomnej žiadosti prijímateľom.</w:t>
      </w:r>
    </w:p>
    <w:p w14:paraId="4A394AAB" w14:textId="77777777" w:rsidR="00A257A1" w:rsidRPr="00CA1186" w:rsidRDefault="00A257A1" w:rsidP="00CA1186">
      <w:pPr>
        <w:widowControl w:val="0"/>
        <w:tabs>
          <w:tab w:val="left" w:pos="346"/>
        </w:tabs>
        <w:spacing w:before="120" w:after="0" w:line="240" w:lineRule="auto"/>
        <w:ind w:right="103"/>
        <w:jc w:val="both"/>
        <w:rPr>
          <w:rFonts w:cstheme="minorHAnsi"/>
          <w:color w:val="1F4E79" w:themeColor="accent1" w:themeShade="80"/>
        </w:rPr>
      </w:pPr>
    </w:p>
    <w:p w14:paraId="7F35B5DD" w14:textId="61AF6F48"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lastRenderedPageBreak/>
        <w:t>Ako postupovať v prípade zmeny bankového účtu?</w:t>
      </w:r>
    </w:p>
    <w:p w14:paraId="224D1711" w14:textId="2104B19A"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Zmenu bankového účtu je prijímateľ povinný oznámiť v písomnej forme SAMRS.</w:t>
      </w:r>
    </w:p>
    <w:p w14:paraId="5F26E0C3" w14:textId="78D4A43C" w:rsid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Ako postupovať v prípade zmeny štatutára organizácie?</w:t>
      </w:r>
    </w:p>
    <w:p w14:paraId="10AD960C" w14:textId="790565B2"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Zmenu štatutára je prijímateľ povinný oznámiť v písomnej forme SAMRS.</w:t>
      </w:r>
    </w:p>
    <w:p w14:paraId="0F53FB0A" w14:textId="71641727" w:rsidR="00CA1186" w:rsidRPr="00CA1186" w:rsidRDefault="00CA1186" w:rsidP="00CA1186">
      <w:pPr>
        <w:pStyle w:val="Odsekzoznamu"/>
        <w:widowControl w:val="0"/>
        <w:numPr>
          <w:ilvl w:val="0"/>
          <w:numId w:val="1"/>
        </w:numPr>
        <w:tabs>
          <w:tab w:val="left" w:pos="346"/>
        </w:tabs>
        <w:spacing w:before="120" w:after="0" w:line="240" w:lineRule="auto"/>
        <w:ind w:right="103"/>
        <w:contextualSpacing w:val="0"/>
        <w:jc w:val="both"/>
        <w:rPr>
          <w:rFonts w:ascii="Calibri" w:hAnsi="Calibri" w:cs="Calibri"/>
          <w:b/>
        </w:rPr>
      </w:pPr>
      <w:r w:rsidRPr="00CA1186">
        <w:rPr>
          <w:rFonts w:ascii="Calibri" w:hAnsi="Calibri" w:cs="Calibri"/>
          <w:b/>
        </w:rPr>
        <w:t>Je možné ukončiť zo strany prijímateľa projekt predčasne?</w:t>
      </w:r>
    </w:p>
    <w:p w14:paraId="451ABCD2" w14:textId="77777777" w:rsidR="00CA1186" w:rsidRPr="00CA118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Zo závažných a objektívnych dôvodov je možné ukončiť projekt vyslania dobrovoľníčky/dobrovoľníka alebo expertky – dobrovoľníčky/ experta – dobrovoľníka predčasne. SAMRS musí byť o tejto skutočnosti písomne informovaná včas a na základe žiadosti o predčasnom ukončení projektu zo strany prijímateľa dotácie. V kompetencii SAMRS je posúdenie závažnosti týchto dôvodov.</w:t>
      </w:r>
    </w:p>
    <w:p w14:paraId="67AC4215" w14:textId="2DCA9B6F" w:rsidR="00535FE6" w:rsidRPr="00535FE6" w:rsidRDefault="00CA1186" w:rsidP="00CA1186">
      <w:pPr>
        <w:widowControl w:val="0"/>
        <w:tabs>
          <w:tab w:val="left" w:pos="346"/>
        </w:tabs>
        <w:spacing w:before="120" w:after="0" w:line="240" w:lineRule="auto"/>
        <w:ind w:right="103"/>
        <w:jc w:val="both"/>
        <w:rPr>
          <w:rFonts w:cstheme="minorHAnsi"/>
          <w:color w:val="1F4E79" w:themeColor="accent1" w:themeShade="80"/>
        </w:rPr>
      </w:pPr>
      <w:r w:rsidRPr="00CA1186">
        <w:rPr>
          <w:rFonts w:cstheme="minorHAnsi"/>
          <w:color w:val="1F4E79" w:themeColor="accent1" w:themeShade="80"/>
        </w:rPr>
        <w:t>V prípade predčasného ukončenia zmluvy je prijímateľ povinný predložiť SAMRS kópie účtovných dokladov spolu s elektronickým rozpočtom v lehote 45 pracovných dní odo dňa predčasného ukončenia (od ukončenia vyslania dobrovoľníčky/dobrovoľníka alebo expertky-dobrovoľníčky/experta-dobrovoľníka). Súčasne prijímateľ predloží SAMRS aj záverečnú správu o realizácii projektu.</w:t>
      </w:r>
    </w:p>
    <w:sectPr w:rsidR="00535FE6" w:rsidRPr="00535FE6">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4D656" w14:textId="77777777" w:rsidR="00885F96" w:rsidRDefault="00885F96" w:rsidP="00E336A2">
      <w:pPr>
        <w:spacing w:after="0" w:line="240" w:lineRule="auto"/>
      </w:pPr>
      <w:r>
        <w:separator/>
      </w:r>
    </w:p>
  </w:endnote>
  <w:endnote w:type="continuationSeparator" w:id="0">
    <w:p w14:paraId="336F93AE" w14:textId="77777777" w:rsidR="00885F96" w:rsidRDefault="00885F96" w:rsidP="00E33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0" w:usb1="08080000" w:usb2="00000010" w:usb3="00000000" w:csb0="001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139789"/>
      <w:docPartObj>
        <w:docPartGallery w:val="Page Numbers (Bottom of Page)"/>
        <w:docPartUnique/>
      </w:docPartObj>
    </w:sdtPr>
    <w:sdtEndPr/>
    <w:sdtContent>
      <w:p w14:paraId="3A524F92" w14:textId="4599CF96" w:rsidR="00423877" w:rsidRDefault="00423877">
        <w:pPr>
          <w:pStyle w:val="Pta"/>
          <w:jc w:val="right"/>
        </w:pPr>
        <w:r>
          <w:fldChar w:fldCharType="begin"/>
        </w:r>
        <w:r>
          <w:instrText>PAGE   \* MERGEFORMAT</w:instrText>
        </w:r>
        <w:r>
          <w:fldChar w:fldCharType="separate"/>
        </w:r>
        <w:r w:rsidR="00A257A1">
          <w:rPr>
            <w:noProof/>
          </w:rPr>
          <w:t>6</w:t>
        </w:r>
        <w:r>
          <w:fldChar w:fldCharType="end"/>
        </w:r>
      </w:p>
    </w:sdtContent>
  </w:sdt>
  <w:p w14:paraId="02C3662A" w14:textId="77777777" w:rsidR="00423877" w:rsidRDefault="0042387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42ADF" w14:textId="77777777" w:rsidR="00885F96" w:rsidRDefault="00885F96" w:rsidP="00E336A2">
      <w:pPr>
        <w:spacing w:after="0" w:line="240" w:lineRule="auto"/>
      </w:pPr>
      <w:r>
        <w:separator/>
      </w:r>
    </w:p>
  </w:footnote>
  <w:footnote w:type="continuationSeparator" w:id="0">
    <w:p w14:paraId="385DB9DF" w14:textId="77777777" w:rsidR="00885F96" w:rsidRDefault="00885F96" w:rsidP="00E33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C8C5" w14:textId="77777777" w:rsidR="003A08F7" w:rsidRPr="009A6571" w:rsidRDefault="003A08F7" w:rsidP="003A08F7">
    <w:pPr>
      <w:pStyle w:val="Hlavika"/>
      <w:tabs>
        <w:tab w:val="left" w:pos="1905"/>
      </w:tabs>
      <w:rPr>
        <w:rFonts w:ascii="Arial" w:hAnsi="Arial"/>
        <w:b/>
        <w:noProof/>
        <w:position w:val="20"/>
      </w:rPr>
    </w:pPr>
    <w:r>
      <w:rPr>
        <w:rFonts w:ascii="Arial" w:hAnsi="Arial"/>
        <w:bCs/>
        <w:noProof/>
        <w:lang w:eastAsia="sk-SK"/>
      </w:rPr>
      <w:drawing>
        <wp:inline distT="0" distB="0" distL="0" distR="0" wp14:anchorId="5A94FB1D" wp14:editId="20725BAF">
          <wp:extent cx="2295525" cy="628650"/>
          <wp:effectExtent l="0" t="0" r="9525" b="0"/>
          <wp:docPr id="5" name="Obrázok 5"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ab/>
      <w:t xml:space="preserve">            </w:t>
    </w:r>
    <w:r>
      <w:rPr>
        <w:rFonts w:ascii="Arial" w:hAnsi="Arial"/>
        <w:b/>
        <w:position w:val="20"/>
      </w:rPr>
      <w:tab/>
      <w:t xml:space="preserve">     </w:t>
    </w:r>
    <w:r>
      <w:rPr>
        <w:rFonts w:ascii="Arial" w:hAnsi="Arial"/>
        <w:b/>
        <w:noProof/>
        <w:position w:val="20"/>
        <w:lang w:eastAsia="sk-SK"/>
      </w:rPr>
      <w:drawing>
        <wp:inline distT="0" distB="0" distL="0" distR="0" wp14:anchorId="5E33FB60" wp14:editId="0B3F7190">
          <wp:extent cx="1495425" cy="714375"/>
          <wp:effectExtent l="0" t="0" r="9525" b="9525"/>
          <wp:docPr id="4" name="Obrázok 4"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position w:val="20"/>
      </w:rPr>
      <w:t xml:space="preserve">                               </w:t>
    </w:r>
  </w:p>
  <w:p w14:paraId="0739DA27" w14:textId="77777777" w:rsidR="003A08F7" w:rsidRDefault="003A08F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C3C9B"/>
    <w:multiLevelType w:val="hybridMultilevel"/>
    <w:tmpl w:val="05F858E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39B1736C"/>
    <w:multiLevelType w:val="hybridMultilevel"/>
    <w:tmpl w:val="C890DD38"/>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3E737914"/>
    <w:multiLevelType w:val="hybridMultilevel"/>
    <w:tmpl w:val="AB289C78"/>
    <w:lvl w:ilvl="0" w:tplc="35AA4B5A">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498F3165"/>
    <w:multiLevelType w:val="hybridMultilevel"/>
    <w:tmpl w:val="4636DA4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15:restartNumberingAfterBreak="0">
    <w:nsid w:val="5CB73406"/>
    <w:multiLevelType w:val="multilevel"/>
    <w:tmpl w:val="041B001F"/>
    <w:lvl w:ilvl="0">
      <w:start w:val="1"/>
      <w:numFmt w:val="decimal"/>
      <w:lvlText w:val="%1."/>
      <w:lvlJc w:val="left"/>
      <w:pPr>
        <w:ind w:left="360" w:hanging="360"/>
      </w:pPr>
      <w:rPr>
        <w:rFonts w:hint="default"/>
        <w:b/>
        <w:bCs/>
        <w:w w:val="99"/>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36B3B5E"/>
    <w:multiLevelType w:val="hybridMultilevel"/>
    <w:tmpl w:val="842877E2"/>
    <w:lvl w:ilvl="0" w:tplc="F6F26AE0">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15:restartNumberingAfterBreak="0">
    <w:nsid w:val="63C96584"/>
    <w:multiLevelType w:val="hybridMultilevel"/>
    <w:tmpl w:val="6F1CF8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8A41B90"/>
    <w:multiLevelType w:val="hybridMultilevel"/>
    <w:tmpl w:val="76120FF4"/>
    <w:lvl w:ilvl="0" w:tplc="59A48088">
      <w:start w:val="1"/>
      <w:numFmt w:val="decimal"/>
      <w:lvlText w:val="%1."/>
      <w:lvlJc w:val="left"/>
      <w:pPr>
        <w:ind w:left="360" w:hanging="360"/>
      </w:pPr>
      <w:rPr>
        <w:rFonts w:hint="default"/>
        <w:b/>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726D0F1B"/>
    <w:multiLevelType w:val="hybridMultilevel"/>
    <w:tmpl w:val="7FCC2D30"/>
    <w:lvl w:ilvl="0" w:tplc="7C4AC3C2">
      <w:numFmt w:val="bullet"/>
      <w:lvlText w:val="-"/>
      <w:lvlJc w:val="left"/>
      <w:pPr>
        <w:ind w:left="720" w:hanging="360"/>
      </w:pPr>
      <w:rPr>
        <w:rFonts w:ascii="Arial" w:eastAsia="PMingLiU"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749B3E1C"/>
    <w:multiLevelType w:val="hybridMultilevel"/>
    <w:tmpl w:val="8ACE8A24"/>
    <w:lvl w:ilvl="0" w:tplc="7C4AC3C2">
      <w:numFmt w:val="bullet"/>
      <w:lvlText w:val="-"/>
      <w:lvlJc w:val="left"/>
      <w:pPr>
        <w:ind w:left="720" w:hanging="360"/>
      </w:pPr>
      <w:rPr>
        <w:rFonts w:ascii="Arial" w:eastAsia="PMingLiU"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68385510">
    <w:abstractNumId w:val="7"/>
  </w:num>
  <w:num w:numId="2" w16cid:durableId="1875145308">
    <w:abstractNumId w:val="2"/>
  </w:num>
  <w:num w:numId="3" w16cid:durableId="25102071">
    <w:abstractNumId w:val="6"/>
  </w:num>
  <w:num w:numId="4" w16cid:durableId="684021806">
    <w:abstractNumId w:val="1"/>
  </w:num>
  <w:num w:numId="5" w16cid:durableId="490289185">
    <w:abstractNumId w:val="3"/>
  </w:num>
  <w:num w:numId="6" w16cid:durableId="1914318847">
    <w:abstractNumId w:val="8"/>
  </w:num>
  <w:num w:numId="7" w16cid:durableId="194541229">
    <w:abstractNumId w:val="9"/>
  </w:num>
  <w:num w:numId="8" w16cid:durableId="1553232399">
    <w:abstractNumId w:val="5"/>
  </w:num>
  <w:num w:numId="9" w16cid:durableId="1676569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48118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871"/>
    <w:rsid w:val="00024DE0"/>
    <w:rsid w:val="000342F2"/>
    <w:rsid w:val="00057780"/>
    <w:rsid w:val="00086F08"/>
    <w:rsid w:val="0009169E"/>
    <w:rsid w:val="000A41AC"/>
    <w:rsid w:val="000D1DE0"/>
    <w:rsid w:val="000D5AC5"/>
    <w:rsid w:val="000D6B68"/>
    <w:rsid w:val="000E6363"/>
    <w:rsid w:val="00102079"/>
    <w:rsid w:val="00107475"/>
    <w:rsid w:val="00137E0F"/>
    <w:rsid w:val="00142A5C"/>
    <w:rsid w:val="00143D6E"/>
    <w:rsid w:val="0014527E"/>
    <w:rsid w:val="00153DFD"/>
    <w:rsid w:val="00167442"/>
    <w:rsid w:val="00172813"/>
    <w:rsid w:val="00185961"/>
    <w:rsid w:val="00191D0C"/>
    <w:rsid w:val="00195C46"/>
    <w:rsid w:val="001A42B6"/>
    <w:rsid w:val="001A4FFB"/>
    <w:rsid w:val="001B1B52"/>
    <w:rsid w:val="001C0C20"/>
    <w:rsid w:val="001C2AA6"/>
    <w:rsid w:val="001C5D44"/>
    <w:rsid w:val="001D1076"/>
    <w:rsid w:val="001D3D11"/>
    <w:rsid w:val="0020211B"/>
    <w:rsid w:val="00203C8A"/>
    <w:rsid w:val="00207FB0"/>
    <w:rsid w:val="002308A3"/>
    <w:rsid w:val="002508CC"/>
    <w:rsid w:val="00255AB6"/>
    <w:rsid w:val="00264B5A"/>
    <w:rsid w:val="0028121E"/>
    <w:rsid w:val="00284C0F"/>
    <w:rsid w:val="00285162"/>
    <w:rsid w:val="00295B6E"/>
    <w:rsid w:val="002C08BB"/>
    <w:rsid w:val="002C4FE5"/>
    <w:rsid w:val="002E5494"/>
    <w:rsid w:val="002F5C39"/>
    <w:rsid w:val="003377AE"/>
    <w:rsid w:val="00355CBA"/>
    <w:rsid w:val="003823DA"/>
    <w:rsid w:val="003930BE"/>
    <w:rsid w:val="00394484"/>
    <w:rsid w:val="003A08F7"/>
    <w:rsid w:val="003B7579"/>
    <w:rsid w:val="003B7AE9"/>
    <w:rsid w:val="003C05F1"/>
    <w:rsid w:val="003E16E7"/>
    <w:rsid w:val="003E5B0D"/>
    <w:rsid w:val="003E6D97"/>
    <w:rsid w:val="00406C0F"/>
    <w:rsid w:val="00410198"/>
    <w:rsid w:val="00410C77"/>
    <w:rsid w:val="00423877"/>
    <w:rsid w:val="0044196A"/>
    <w:rsid w:val="00446591"/>
    <w:rsid w:val="00463E12"/>
    <w:rsid w:val="0049076E"/>
    <w:rsid w:val="004B53FB"/>
    <w:rsid w:val="004D7744"/>
    <w:rsid w:val="004F440E"/>
    <w:rsid w:val="00502673"/>
    <w:rsid w:val="0050462A"/>
    <w:rsid w:val="00506001"/>
    <w:rsid w:val="005124B1"/>
    <w:rsid w:val="00513E6A"/>
    <w:rsid w:val="00516E62"/>
    <w:rsid w:val="00530393"/>
    <w:rsid w:val="005325CA"/>
    <w:rsid w:val="00535FE6"/>
    <w:rsid w:val="005644EE"/>
    <w:rsid w:val="00597AC6"/>
    <w:rsid w:val="005A1BF5"/>
    <w:rsid w:val="005C4FB4"/>
    <w:rsid w:val="005D38C4"/>
    <w:rsid w:val="005D6286"/>
    <w:rsid w:val="005F3C90"/>
    <w:rsid w:val="00612B21"/>
    <w:rsid w:val="00612CE4"/>
    <w:rsid w:val="00641C92"/>
    <w:rsid w:val="00645DCC"/>
    <w:rsid w:val="00656A51"/>
    <w:rsid w:val="0067576B"/>
    <w:rsid w:val="00676E3A"/>
    <w:rsid w:val="00690CDC"/>
    <w:rsid w:val="006B0DE0"/>
    <w:rsid w:val="006C27F2"/>
    <w:rsid w:val="006C2D8B"/>
    <w:rsid w:val="006C439B"/>
    <w:rsid w:val="006C5F9D"/>
    <w:rsid w:val="006D2C9B"/>
    <w:rsid w:val="006D4194"/>
    <w:rsid w:val="006F0F5D"/>
    <w:rsid w:val="006F0FEB"/>
    <w:rsid w:val="006F4240"/>
    <w:rsid w:val="0070083E"/>
    <w:rsid w:val="00703334"/>
    <w:rsid w:val="007055D5"/>
    <w:rsid w:val="00706801"/>
    <w:rsid w:val="007123DE"/>
    <w:rsid w:val="00723965"/>
    <w:rsid w:val="00730B4B"/>
    <w:rsid w:val="00733E78"/>
    <w:rsid w:val="00756B85"/>
    <w:rsid w:val="0078493A"/>
    <w:rsid w:val="007D118A"/>
    <w:rsid w:val="007E7463"/>
    <w:rsid w:val="00806363"/>
    <w:rsid w:val="0082167D"/>
    <w:rsid w:val="00821D91"/>
    <w:rsid w:val="00823FA3"/>
    <w:rsid w:val="0083759C"/>
    <w:rsid w:val="00842DD9"/>
    <w:rsid w:val="00856A52"/>
    <w:rsid w:val="0085752B"/>
    <w:rsid w:val="008613D2"/>
    <w:rsid w:val="008633E0"/>
    <w:rsid w:val="008720F4"/>
    <w:rsid w:val="00885F96"/>
    <w:rsid w:val="00894871"/>
    <w:rsid w:val="008A068D"/>
    <w:rsid w:val="008B5026"/>
    <w:rsid w:val="008D3BB2"/>
    <w:rsid w:val="008F436A"/>
    <w:rsid w:val="00905FE1"/>
    <w:rsid w:val="009134BB"/>
    <w:rsid w:val="00921D0A"/>
    <w:rsid w:val="00932413"/>
    <w:rsid w:val="00935432"/>
    <w:rsid w:val="00936624"/>
    <w:rsid w:val="00960BF5"/>
    <w:rsid w:val="00961DE7"/>
    <w:rsid w:val="009625FD"/>
    <w:rsid w:val="009731F6"/>
    <w:rsid w:val="00980618"/>
    <w:rsid w:val="00985F1B"/>
    <w:rsid w:val="00986A01"/>
    <w:rsid w:val="009908F2"/>
    <w:rsid w:val="009B204D"/>
    <w:rsid w:val="009B3794"/>
    <w:rsid w:val="009C3E09"/>
    <w:rsid w:val="009D1F22"/>
    <w:rsid w:val="009F7787"/>
    <w:rsid w:val="00A044DD"/>
    <w:rsid w:val="00A257A1"/>
    <w:rsid w:val="00A31B50"/>
    <w:rsid w:val="00A33542"/>
    <w:rsid w:val="00A460CA"/>
    <w:rsid w:val="00A57A1F"/>
    <w:rsid w:val="00A62094"/>
    <w:rsid w:val="00A630B8"/>
    <w:rsid w:val="00A67F8E"/>
    <w:rsid w:val="00A872C6"/>
    <w:rsid w:val="00AB1FE1"/>
    <w:rsid w:val="00AF16FD"/>
    <w:rsid w:val="00B04542"/>
    <w:rsid w:val="00B1360A"/>
    <w:rsid w:val="00B21242"/>
    <w:rsid w:val="00B50E30"/>
    <w:rsid w:val="00B567F7"/>
    <w:rsid w:val="00B64AB6"/>
    <w:rsid w:val="00B66545"/>
    <w:rsid w:val="00BA33B4"/>
    <w:rsid w:val="00BB6022"/>
    <w:rsid w:val="00BC3344"/>
    <w:rsid w:val="00BD5F3B"/>
    <w:rsid w:val="00BE02A5"/>
    <w:rsid w:val="00C004EE"/>
    <w:rsid w:val="00C05649"/>
    <w:rsid w:val="00C37415"/>
    <w:rsid w:val="00C432BB"/>
    <w:rsid w:val="00C62492"/>
    <w:rsid w:val="00C90BE7"/>
    <w:rsid w:val="00CA1186"/>
    <w:rsid w:val="00CB448E"/>
    <w:rsid w:val="00CB4514"/>
    <w:rsid w:val="00CB6C7E"/>
    <w:rsid w:val="00CD0A2A"/>
    <w:rsid w:val="00CD36D8"/>
    <w:rsid w:val="00D76DE3"/>
    <w:rsid w:val="00DA0D47"/>
    <w:rsid w:val="00DB5C12"/>
    <w:rsid w:val="00DD1250"/>
    <w:rsid w:val="00DE32F9"/>
    <w:rsid w:val="00E02B61"/>
    <w:rsid w:val="00E153C5"/>
    <w:rsid w:val="00E24445"/>
    <w:rsid w:val="00E273B9"/>
    <w:rsid w:val="00E336A2"/>
    <w:rsid w:val="00E53C3B"/>
    <w:rsid w:val="00E61C8D"/>
    <w:rsid w:val="00E62A12"/>
    <w:rsid w:val="00E862BE"/>
    <w:rsid w:val="00E908C7"/>
    <w:rsid w:val="00E9598A"/>
    <w:rsid w:val="00EA5AC4"/>
    <w:rsid w:val="00EB74C6"/>
    <w:rsid w:val="00EC3983"/>
    <w:rsid w:val="00ED0F09"/>
    <w:rsid w:val="00ED46ED"/>
    <w:rsid w:val="00ED76AA"/>
    <w:rsid w:val="00EF11D8"/>
    <w:rsid w:val="00F22182"/>
    <w:rsid w:val="00F2379A"/>
    <w:rsid w:val="00F33183"/>
    <w:rsid w:val="00F35D60"/>
    <w:rsid w:val="00F40BF7"/>
    <w:rsid w:val="00F434AF"/>
    <w:rsid w:val="00F51742"/>
    <w:rsid w:val="00F71F01"/>
    <w:rsid w:val="00F8657C"/>
    <w:rsid w:val="00F8671D"/>
    <w:rsid w:val="00F92244"/>
    <w:rsid w:val="00FB2533"/>
    <w:rsid w:val="00FB4671"/>
    <w:rsid w:val="00FC1413"/>
    <w:rsid w:val="00FE2E1B"/>
    <w:rsid w:val="00FF2B5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37E08"/>
  <w15:docId w15:val="{18DD252B-F300-4BF8-AF7F-DD5CC297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List Paragraph"/>
    <w:basedOn w:val="Normlny"/>
    <w:link w:val="OdsekzoznamuChar"/>
    <w:uiPriority w:val="34"/>
    <w:qFormat/>
    <w:rsid w:val="00894871"/>
    <w:pPr>
      <w:ind w:left="720"/>
      <w:contextualSpacing/>
    </w:pPr>
  </w:style>
  <w:style w:type="character" w:styleId="Hypertextovprepojenie">
    <w:name w:val="Hyperlink"/>
    <w:basedOn w:val="Predvolenpsmoodseku"/>
    <w:uiPriority w:val="99"/>
    <w:unhideWhenUsed/>
    <w:rsid w:val="00A31B50"/>
    <w:rPr>
      <w:color w:val="0563C1" w:themeColor="hyperlink"/>
      <w:u w:val="single"/>
    </w:r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unhideWhenUsed/>
    <w:qFormat/>
    <w:rsid w:val="00E336A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E336A2"/>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unhideWhenUsed/>
    <w:qFormat/>
    <w:rsid w:val="00E336A2"/>
    <w:rPr>
      <w:vertAlign w:val="superscript"/>
    </w:rPr>
  </w:style>
  <w:style w:type="paragraph" w:customStyle="1" w:styleId="Default">
    <w:name w:val="Default"/>
    <w:rsid w:val="00706801"/>
    <w:pPr>
      <w:autoSpaceDE w:val="0"/>
      <w:autoSpaceDN w:val="0"/>
      <w:adjustRightInd w:val="0"/>
      <w:spacing w:after="0" w:line="240" w:lineRule="auto"/>
    </w:pPr>
    <w:rPr>
      <w:rFonts w:ascii="Calibri" w:hAnsi="Calibri" w:cs="Calibri"/>
      <w:color w:val="000000"/>
      <w:sz w:val="24"/>
      <w:szCs w:val="24"/>
    </w:rPr>
  </w:style>
  <w:style w:type="character" w:styleId="Odkaznakomentr">
    <w:name w:val="annotation reference"/>
    <w:basedOn w:val="Predvolenpsmoodseku"/>
    <w:uiPriority w:val="99"/>
    <w:semiHidden/>
    <w:unhideWhenUsed/>
    <w:rsid w:val="009134BB"/>
    <w:rPr>
      <w:sz w:val="16"/>
      <w:szCs w:val="16"/>
    </w:rPr>
  </w:style>
  <w:style w:type="paragraph" w:styleId="Textkomentra">
    <w:name w:val="annotation text"/>
    <w:basedOn w:val="Normlny"/>
    <w:link w:val="TextkomentraChar"/>
    <w:uiPriority w:val="99"/>
    <w:semiHidden/>
    <w:unhideWhenUsed/>
    <w:rsid w:val="009134BB"/>
    <w:pPr>
      <w:spacing w:line="240" w:lineRule="auto"/>
    </w:pPr>
    <w:rPr>
      <w:sz w:val="20"/>
      <w:szCs w:val="20"/>
    </w:rPr>
  </w:style>
  <w:style w:type="character" w:customStyle="1" w:styleId="TextkomentraChar">
    <w:name w:val="Text komentára Char"/>
    <w:basedOn w:val="Predvolenpsmoodseku"/>
    <w:link w:val="Textkomentra"/>
    <w:uiPriority w:val="99"/>
    <w:semiHidden/>
    <w:rsid w:val="009134BB"/>
    <w:rPr>
      <w:sz w:val="20"/>
      <w:szCs w:val="20"/>
    </w:rPr>
  </w:style>
  <w:style w:type="paragraph" w:styleId="Predmetkomentra">
    <w:name w:val="annotation subject"/>
    <w:basedOn w:val="Textkomentra"/>
    <w:next w:val="Textkomentra"/>
    <w:link w:val="PredmetkomentraChar"/>
    <w:uiPriority w:val="99"/>
    <w:semiHidden/>
    <w:unhideWhenUsed/>
    <w:rsid w:val="009134BB"/>
    <w:rPr>
      <w:b/>
      <w:bCs/>
    </w:rPr>
  </w:style>
  <w:style w:type="character" w:customStyle="1" w:styleId="PredmetkomentraChar">
    <w:name w:val="Predmet komentára Char"/>
    <w:basedOn w:val="TextkomentraChar"/>
    <w:link w:val="Predmetkomentra"/>
    <w:uiPriority w:val="99"/>
    <w:semiHidden/>
    <w:rsid w:val="009134BB"/>
    <w:rPr>
      <w:b/>
      <w:bCs/>
      <w:sz w:val="20"/>
      <w:szCs w:val="20"/>
    </w:rPr>
  </w:style>
  <w:style w:type="paragraph" w:styleId="Textbubliny">
    <w:name w:val="Balloon Text"/>
    <w:basedOn w:val="Normlny"/>
    <w:link w:val="TextbublinyChar"/>
    <w:uiPriority w:val="99"/>
    <w:semiHidden/>
    <w:unhideWhenUsed/>
    <w:rsid w:val="009134B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134BB"/>
    <w:rPr>
      <w:rFonts w:ascii="Segoe UI" w:hAnsi="Segoe UI" w:cs="Segoe UI"/>
      <w:sz w:val="18"/>
      <w:szCs w:val="18"/>
    </w:rPr>
  </w:style>
  <w:style w:type="paragraph" w:styleId="Hlavika">
    <w:name w:val="header"/>
    <w:basedOn w:val="Normlny"/>
    <w:link w:val="HlavikaChar"/>
    <w:uiPriority w:val="99"/>
    <w:unhideWhenUsed/>
    <w:rsid w:val="003A08F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A08F7"/>
  </w:style>
  <w:style w:type="paragraph" w:styleId="Pta">
    <w:name w:val="footer"/>
    <w:basedOn w:val="Normlny"/>
    <w:link w:val="PtaChar"/>
    <w:uiPriority w:val="99"/>
    <w:unhideWhenUsed/>
    <w:rsid w:val="003A08F7"/>
    <w:pPr>
      <w:tabs>
        <w:tab w:val="center" w:pos="4536"/>
        <w:tab w:val="right" w:pos="9072"/>
      </w:tabs>
      <w:spacing w:after="0" w:line="240" w:lineRule="auto"/>
    </w:pPr>
  </w:style>
  <w:style w:type="character" w:customStyle="1" w:styleId="PtaChar">
    <w:name w:val="Päta Char"/>
    <w:basedOn w:val="Predvolenpsmoodseku"/>
    <w:link w:val="Pta"/>
    <w:uiPriority w:val="99"/>
    <w:rsid w:val="003A08F7"/>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1C0C20"/>
    <w:pPr>
      <w:spacing w:before="240" w:line="240" w:lineRule="exact"/>
    </w:pPr>
    <w:rPr>
      <w:vertAlign w:val="superscript"/>
    </w:rPr>
  </w:style>
  <w:style w:type="character" w:customStyle="1" w:styleId="OdsekzoznamuChar">
    <w:name w:val="Odsek zoznamu Char"/>
    <w:aliases w:val="body Char,Odsek zoznamu2 Char,List Paragraph Char"/>
    <w:basedOn w:val="Predvolenpsmoodseku"/>
    <w:link w:val="Odsekzoznamu"/>
    <w:uiPriority w:val="34"/>
    <w:locked/>
    <w:rsid w:val="00DA0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11362">
      <w:bodyDiv w:val="1"/>
      <w:marLeft w:val="0"/>
      <w:marRight w:val="0"/>
      <w:marTop w:val="0"/>
      <w:marBottom w:val="0"/>
      <w:divBdr>
        <w:top w:val="none" w:sz="0" w:space="0" w:color="auto"/>
        <w:left w:val="none" w:sz="0" w:space="0" w:color="auto"/>
        <w:bottom w:val="none" w:sz="0" w:space="0" w:color="auto"/>
        <w:right w:val="none" w:sz="0" w:space="0" w:color="auto"/>
      </w:divBdr>
    </w:div>
    <w:div w:id="480539796">
      <w:bodyDiv w:val="1"/>
      <w:marLeft w:val="0"/>
      <w:marRight w:val="0"/>
      <w:marTop w:val="0"/>
      <w:marBottom w:val="0"/>
      <w:divBdr>
        <w:top w:val="none" w:sz="0" w:space="0" w:color="auto"/>
        <w:left w:val="none" w:sz="0" w:space="0" w:color="auto"/>
        <w:bottom w:val="none" w:sz="0" w:space="0" w:color="auto"/>
        <w:right w:val="none" w:sz="0" w:space="0" w:color="auto"/>
      </w:divBdr>
      <w:divsChild>
        <w:div w:id="1225025059">
          <w:marLeft w:val="0"/>
          <w:marRight w:val="0"/>
          <w:marTop w:val="0"/>
          <w:marBottom w:val="0"/>
          <w:divBdr>
            <w:top w:val="none" w:sz="0" w:space="0" w:color="auto"/>
            <w:left w:val="none" w:sz="0" w:space="0" w:color="auto"/>
            <w:bottom w:val="none" w:sz="0" w:space="0" w:color="auto"/>
            <w:right w:val="none" w:sz="0" w:space="0" w:color="auto"/>
          </w:divBdr>
        </w:div>
        <w:div w:id="1763867901">
          <w:marLeft w:val="0"/>
          <w:marRight w:val="0"/>
          <w:marTop w:val="0"/>
          <w:marBottom w:val="0"/>
          <w:divBdr>
            <w:top w:val="none" w:sz="0" w:space="0" w:color="auto"/>
            <w:left w:val="none" w:sz="0" w:space="0" w:color="auto"/>
            <w:bottom w:val="none" w:sz="0" w:space="0" w:color="auto"/>
            <w:right w:val="none" w:sz="0" w:space="0" w:color="auto"/>
          </w:divBdr>
        </w:div>
        <w:div w:id="682518055">
          <w:marLeft w:val="0"/>
          <w:marRight w:val="0"/>
          <w:marTop w:val="0"/>
          <w:marBottom w:val="0"/>
          <w:divBdr>
            <w:top w:val="none" w:sz="0" w:space="0" w:color="auto"/>
            <w:left w:val="none" w:sz="0" w:space="0" w:color="auto"/>
            <w:bottom w:val="none" w:sz="0" w:space="0" w:color="auto"/>
            <w:right w:val="none" w:sz="0" w:space="0" w:color="auto"/>
          </w:divBdr>
        </w:div>
      </w:divsChild>
    </w:div>
    <w:div w:id="498816427">
      <w:bodyDiv w:val="1"/>
      <w:marLeft w:val="0"/>
      <w:marRight w:val="0"/>
      <w:marTop w:val="0"/>
      <w:marBottom w:val="0"/>
      <w:divBdr>
        <w:top w:val="none" w:sz="0" w:space="0" w:color="auto"/>
        <w:left w:val="none" w:sz="0" w:space="0" w:color="auto"/>
        <w:bottom w:val="none" w:sz="0" w:space="0" w:color="auto"/>
        <w:right w:val="none" w:sz="0" w:space="0" w:color="auto"/>
      </w:divBdr>
    </w:div>
    <w:div w:id="554312557">
      <w:bodyDiv w:val="1"/>
      <w:marLeft w:val="0"/>
      <w:marRight w:val="0"/>
      <w:marTop w:val="0"/>
      <w:marBottom w:val="0"/>
      <w:divBdr>
        <w:top w:val="none" w:sz="0" w:space="0" w:color="auto"/>
        <w:left w:val="none" w:sz="0" w:space="0" w:color="auto"/>
        <w:bottom w:val="none" w:sz="0" w:space="0" w:color="auto"/>
        <w:right w:val="none" w:sz="0" w:space="0" w:color="auto"/>
      </w:divBdr>
    </w:div>
    <w:div w:id="625893168">
      <w:bodyDiv w:val="1"/>
      <w:marLeft w:val="0"/>
      <w:marRight w:val="0"/>
      <w:marTop w:val="0"/>
      <w:marBottom w:val="0"/>
      <w:divBdr>
        <w:top w:val="none" w:sz="0" w:space="0" w:color="auto"/>
        <w:left w:val="none" w:sz="0" w:space="0" w:color="auto"/>
        <w:bottom w:val="none" w:sz="0" w:space="0" w:color="auto"/>
        <w:right w:val="none" w:sz="0" w:space="0" w:color="auto"/>
      </w:divBdr>
    </w:div>
    <w:div w:id="898058046">
      <w:bodyDiv w:val="1"/>
      <w:marLeft w:val="0"/>
      <w:marRight w:val="0"/>
      <w:marTop w:val="0"/>
      <w:marBottom w:val="0"/>
      <w:divBdr>
        <w:top w:val="none" w:sz="0" w:space="0" w:color="auto"/>
        <w:left w:val="none" w:sz="0" w:space="0" w:color="auto"/>
        <w:bottom w:val="none" w:sz="0" w:space="0" w:color="auto"/>
        <w:right w:val="none" w:sz="0" w:space="0" w:color="auto"/>
      </w:divBdr>
    </w:div>
    <w:div w:id="1216505112">
      <w:bodyDiv w:val="1"/>
      <w:marLeft w:val="0"/>
      <w:marRight w:val="0"/>
      <w:marTop w:val="0"/>
      <w:marBottom w:val="0"/>
      <w:divBdr>
        <w:top w:val="none" w:sz="0" w:space="0" w:color="auto"/>
        <w:left w:val="none" w:sz="0" w:space="0" w:color="auto"/>
        <w:bottom w:val="none" w:sz="0" w:space="0" w:color="auto"/>
        <w:right w:val="none" w:sz="0" w:space="0" w:color="auto"/>
      </w:divBdr>
    </w:div>
    <w:div w:id="1648776197">
      <w:bodyDiv w:val="1"/>
      <w:marLeft w:val="0"/>
      <w:marRight w:val="0"/>
      <w:marTop w:val="0"/>
      <w:marBottom w:val="0"/>
      <w:divBdr>
        <w:top w:val="none" w:sz="0" w:space="0" w:color="auto"/>
        <w:left w:val="none" w:sz="0" w:space="0" w:color="auto"/>
        <w:bottom w:val="none" w:sz="0" w:space="0" w:color="auto"/>
        <w:right w:val="none" w:sz="0" w:space="0" w:color="auto"/>
      </w:divBdr>
    </w:div>
    <w:div w:id="1891766206">
      <w:bodyDiv w:val="1"/>
      <w:marLeft w:val="0"/>
      <w:marRight w:val="0"/>
      <w:marTop w:val="0"/>
      <w:marBottom w:val="0"/>
      <w:divBdr>
        <w:top w:val="none" w:sz="0" w:space="0" w:color="auto"/>
        <w:left w:val="none" w:sz="0" w:space="0" w:color="auto"/>
        <w:bottom w:val="none" w:sz="0" w:space="0" w:color="auto"/>
        <w:right w:val="none" w:sz="0" w:space="0" w:color="auto"/>
      </w:divBdr>
    </w:div>
    <w:div w:id="194276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2261</Words>
  <Characters>12888</Characters>
  <Application>Microsoft Office Word</Application>
  <DocSecurity>4</DocSecurity>
  <Lines>107</Lines>
  <Paragraphs>30</Paragraphs>
  <ScaleCrop>false</ScaleCrop>
  <HeadingPairs>
    <vt:vector size="2" baseType="variant">
      <vt:variant>
        <vt:lpstr>Názov</vt:lpstr>
      </vt:variant>
      <vt:variant>
        <vt:i4>1</vt:i4>
      </vt:variant>
    </vt:vector>
  </HeadingPairs>
  <TitlesOfParts>
    <vt:vector size="1" baseType="lpstr">
      <vt:lpstr/>
    </vt:vector>
  </TitlesOfParts>
  <Company>SlovakAid</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Zuzana Palosova</dc:creator>
  <cp:lastModifiedBy>Marta Jašureková</cp:lastModifiedBy>
  <cp:revision>2</cp:revision>
  <dcterms:created xsi:type="dcterms:W3CDTF">2022-12-08T11:49:00Z</dcterms:created>
  <dcterms:modified xsi:type="dcterms:W3CDTF">2022-12-08T11:49:00Z</dcterms:modified>
</cp:coreProperties>
</file>